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C6" w:rsidRDefault="00BD6135" w:rsidP="00D47D5F">
      <w:pPr>
        <w:tabs>
          <w:tab w:val="left" w:pos="2974"/>
        </w:tabs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9" type="#_x0000_t202" style="position:absolute;margin-left:4.5pt;margin-top:-68.85pt;width:413.75pt;height:22.45pt;z-index:251697664" stroked="f">
            <v:textbox style="mso-next-textbox:#_x0000_s1169">
              <w:txbxContent>
                <w:p w:rsidR="000B1FF9" w:rsidRPr="00E00D39" w:rsidRDefault="002C6029" w:rsidP="002C6029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4F6228" w:themeColor="accent3" w:themeShade="8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4F6228" w:themeColor="accent3" w:themeShade="80"/>
                      <w:sz w:val="18"/>
                      <w:szCs w:val="18"/>
                    </w:rPr>
                    <w:t>Mato Grosso/Brasil,</w:t>
                  </w:r>
                  <w:r w:rsidR="00CD4225">
                    <w:rPr>
                      <w:rFonts w:asciiTheme="majorHAnsi" w:hAnsiTheme="majorHAnsi"/>
                      <w:b/>
                      <w:i/>
                      <w:color w:val="4F6228" w:themeColor="accent3" w:themeShade="80"/>
                      <w:sz w:val="18"/>
                      <w:szCs w:val="18"/>
                    </w:rPr>
                    <w:t xml:space="preserve"> Janeiro de 2010</w:t>
                  </w:r>
                  <w:r w:rsidR="0047057C">
                    <w:rPr>
                      <w:rFonts w:asciiTheme="majorHAnsi" w:hAnsiTheme="majorHAnsi"/>
                      <w:b/>
                      <w:i/>
                      <w:color w:val="4F6228" w:themeColor="accent3" w:themeShade="80"/>
                      <w:sz w:val="18"/>
                      <w:szCs w:val="18"/>
                    </w:rPr>
                    <w:t xml:space="preserve"> – Projeções para a Produção Agropecuária em Mato Grosso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162" type="#_x0000_t202" style="position:absolute;margin-left:33.4pt;margin-top:-17.05pt;width:426.05pt;height:48.55pt;z-index:251692544" stroked="f">
            <v:textbox style="mso-next-textbox:#_x0000_s1162">
              <w:txbxContent>
                <w:p w:rsidR="00FE4EE7" w:rsidRPr="00540D06" w:rsidRDefault="00540D06" w:rsidP="00340DBD">
                  <w:pPr>
                    <w:jc w:val="center"/>
                    <w:rPr>
                      <w:rFonts w:asciiTheme="majorHAnsi" w:hAnsiTheme="majorHAnsi"/>
                      <w:b/>
                      <w:color w:val="4F6228" w:themeColor="accent3" w:themeShade="80"/>
                      <w:sz w:val="28"/>
                      <w:szCs w:val="28"/>
                    </w:rPr>
                  </w:pPr>
                  <w:r w:rsidRPr="00540D06">
                    <w:rPr>
                      <w:rFonts w:asciiTheme="majorHAnsi" w:hAnsiTheme="majorHAnsi"/>
                      <w:b/>
                      <w:color w:val="4F6228" w:themeColor="accent3" w:themeShade="80"/>
                      <w:sz w:val="28"/>
                      <w:szCs w:val="28"/>
                    </w:rPr>
                    <w:t>INSTITUTO MATOGROSSENSE DE ECONOMIA AGROPECUÁRIA</w:t>
                  </w:r>
                  <w:r w:rsidR="00493DE7" w:rsidRPr="00540D06">
                    <w:rPr>
                      <w:rFonts w:asciiTheme="majorHAnsi" w:hAnsiTheme="majorHAnsi"/>
                      <w:b/>
                      <w:color w:val="4F6228" w:themeColor="accent3" w:themeShade="80"/>
                      <w:sz w:val="28"/>
                      <w:szCs w:val="28"/>
                    </w:rPr>
                    <w:t xml:space="preserve"> </w:t>
                  </w:r>
                  <w:r w:rsidRPr="00540D06">
                    <w:rPr>
                      <w:rFonts w:asciiTheme="majorHAnsi" w:hAnsiTheme="majorHAnsi"/>
                      <w:b/>
                      <w:color w:val="4F6228" w:themeColor="accent3" w:themeShade="80"/>
                      <w:sz w:val="28"/>
                      <w:szCs w:val="28"/>
                    </w:rPr>
                    <w:t>IMEA</w:t>
                  </w:r>
                </w:p>
                <w:p w:rsidR="00C123E3" w:rsidRPr="00540D06" w:rsidRDefault="00C123E3" w:rsidP="00340DBD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161" type="#_x0000_t202" style="position:absolute;margin-left:-37.4pt;margin-top:-30.65pt;width:74.8pt;height:72.9pt;z-index:251691520" stroked="f">
            <v:textbox style="mso-next-textbox:#_x0000_s1161">
              <w:txbxContent>
                <w:p w:rsidR="00FE4EE7" w:rsidRDefault="00FE4EE7">
                  <w:r w:rsidRPr="00FE4EE7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729095" cy="740408"/>
                        <wp:effectExtent l="19050" t="0" r="0" b="0"/>
                        <wp:docPr id="2" name="Imagem 1" descr="C:\Users\facs\AppData\Local\Microsoft\Windows\Temporary Internet Files\Content.Outlook\PKCWFX0K\Logo IMEA-nova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facs\AppData\Local\Microsoft\Windows\Temporary Internet Files\Content.Outlook\PKCWFX0K\Logo IMEA-nova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834" cy="7452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47D5F">
        <w:tab/>
      </w:r>
    </w:p>
    <w:p w:rsidR="004805C6" w:rsidRPr="00B83666" w:rsidRDefault="00BD6135" w:rsidP="00C123E3">
      <w:pPr>
        <w:tabs>
          <w:tab w:val="left" w:pos="206"/>
          <w:tab w:val="left" w:pos="708"/>
          <w:tab w:val="left" w:pos="2338"/>
        </w:tabs>
      </w:pP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3" type="#_x0000_t32" style="position:absolute;margin-left:-28.95pt;margin-top:16.8pt;width:489.15pt;height:0;z-index:251693568" o:connectortype="straight" strokecolor="black [3213]"/>
        </w:pict>
      </w:r>
      <w:r w:rsidR="00B83666">
        <w:tab/>
      </w:r>
      <w:r w:rsidR="00C123E3">
        <w:tab/>
      </w:r>
      <w:r w:rsidR="00C123E3">
        <w:tab/>
      </w:r>
    </w:p>
    <w:p w:rsidR="004805C6" w:rsidRDefault="00BD6135" w:rsidP="004805C6">
      <w:pPr>
        <w:pStyle w:val="PargrafodaLista"/>
        <w:ind w:left="360"/>
      </w:pPr>
      <w:r>
        <w:rPr>
          <w:noProof/>
          <w:lang w:eastAsia="pt-BR"/>
        </w:rPr>
        <w:pict>
          <v:shape id="_x0000_s1164" type="#_x0000_t202" style="position:absolute;left:0;text-align:left;margin-left:-37.2pt;margin-top:6.35pt;width:496.65pt;height:37.4pt;z-index:251694592" stroked="f">
            <v:textbox style="mso-next-textbox:#_x0000_s1164">
              <w:txbxContent>
                <w:p w:rsidR="00A2505A" w:rsidRPr="0068457B" w:rsidRDefault="002140A6" w:rsidP="00C16FA8">
                  <w:pPr>
                    <w:jc w:val="center"/>
                    <w:rPr>
                      <w:rFonts w:asciiTheme="majorHAnsi" w:hAnsiTheme="majorHAnsi"/>
                      <w:b/>
                      <w:color w:val="244061" w:themeColor="accent1" w:themeShade="8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244061" w:themeColor="accent1" w:themeShade="80"/>
                      <w:sz w:val="28"/>
                      <w:szCs w:val="28"/>
                    </w:rPr>
                    <w:t>PROJEÇÕES PARA PRODUÇÃO AGROPECUÁRIA EM MATO GROSSO</w:t>
                  </w:r>
                </w:p>
              </w:txbxContent>
            </v:textbox>
          </v:shape>
        </w:pict>
      </w:r>
    </w:p>
    <w:p w:rsidR="004805C6" w:rsidRDefault="004805C6" w:rsidP="004805C6">
      <w:pPr>
        <w:pStyle w:val="PargrafodaLista"/>
        <w:ind w:left="360"/>
      </w:pPr>
    </w:p>
    <w:p w:rsidR="004805C6" w:rsidRDefault="004805C6" w:rsidP="004805C6">
      <w:pPr>
        <w:pStyle w:val="PargrafodaLista"/>
        <w:ind w:left="360"/>
      </w:pPr>
    </w:p>
    <w:p w:rsidR="004805C6" w:rsidRDefault="009B3410" w:rsidP="00A126F1">
      <w:pPr>
        <w:pStyle w:val="PargrafodaLista"/>
        <w:ind w:left="3192" w:firstLine="348"/>
      </w:pPr>
      <w:r>
        <w:t>Equipe técnica</w:t>
      </w:r>
    </w:p>
    <w:p w:rsidR="008D6814" w:rsidRDefault="00BD6135" w:rsidP="00CE3B89">
      <w:pPr>
        <w:pStyle w:val="PargrafodaLista"/>
        <w:ind w:left="360"/>
        <w:jc w:val="center"/>
      </w:pPr>
      <w:r>
        <w:rPr>
          <w:noProof/>
          <w:lang w:eastAsia="pt-BR"/>
        </w:rPr>
        <w:pict>
          <v:shape id="_x0000_s1158" type="#_x0000_t202" style="position:absolute;left:0;text-align:left;margin-left:-39.2pt;margin-top:6.45pt;width:506.75pt;height:68.55pt;z-index:251689472" stroked="f">
            <v:textbox style="mso-next-textbox:#_x0000_s1158">
              <w:txbxContent>
                <w:p w:rsidR="00B83666" w:rsidRPr="006749E6" w:rsidRDefault="00683739" w:rsidP="004D030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 t</w:t>
                  </w:r>
                  <w:r w:rsidR="00B83666" w:rsidRPr="006749E6">
                    <w:rPr>
                      <w:sz w:val="18"/>
                      <w:szCs w:val="18"/>
                    </w:rPr>
                    <w:t xml:space="preserve">exto abaixo </w:t>
                  </w:r>
                  <w:r>
                    <w:rPr>
                      <w:sz w:val="18"/>
                      <w:szCs w:val="18"/>
                    </w:rPr>
                    <w:t xml:space="preserve">apresenta as projeções do IMEA para produção agropecuária em Mato Grosso nos próximo 10 anos e também justifica a metodologia utilizada pelo Instituto para as projeções.  </w:t>
                  </w:r>
                  <w:r w:rsidR="007978E1" w:rsidRPr="006749E6">
                    <w:rPr>
                      <w:sz w:val="18"/>
                      <w:szCs w:val="18"/>
                    </w:rPr>
                    <w:t>Atualmente o estado já ocupa posição de destaque na produ</w:t>
                  </w:r>
                  <w:r w:rsidR="00E81C5D" w:rsidRPr="006749E6">
                    <w:rPr>
                      <w:sz w:val="18"/>
                      <w:szCs w:val="18"/>
                    </w:rPr>
                    <w:t>ção nacional e internacional</w:t>
                  </w:r>
                  <w:r w:rsidR="007044B9" w:rsidRPr="006749E6">
                    <w:rPr>
                      <w:sz w:val="18"/>
                      <w:szCs w:val="18"/>
                    </w:rPr>
                    <w:t xml:space="preserve"> e, m</w:t>
                  </w:r>
                  <w:r w:rsidR="00E81C5D" w:rsidRPr="006749E6">
                    <w:rPr>
                      <w:sz w:val="18"/>
                      <w:szCs w:val="18"/>
                    </w:rPr>
                    <w:t xml:space="preserve">esmo com </w:t>
                  </w:r>
                  <w:r w:rsidR="004E0370" w:rsidRPr="006749E6">
                    <w:rPr>
                      <w:sz w:val="18"/>
                      <w:szCs w:val="18"/>
                    </w:rPr>
                    <w:t xml:space="preserve">maiores </w:t>
                  </w:r>
                  <w:r w:rsidR="00E81C5D" w:rsidRPr="006749E6">
                    <w:rPr>
                      <w:sz w:val="18"/>
                      <w:szCs w:val="18"/>
                    </w:rPr>
                    <w:t xml:space="preserve">possibilidades </w:t>
                  </w:r>
                  <w:r w:rsidR="004E0370" w:rsidRPr="006749E6">
                    <w:rPr>
                      <w:sz w:val="18"/>
                      <w:szCs w:val="18"/>
                    </w:rPr>
                    <w:t>de cres</w:t>
                  </w:r>
                  <w:r w:rsidR="00733A3A" w:rsidRPr="006749E6">
                    <w:rPr>
                      <w:sz w:val="18"/>
                      <w:szCs w:val="18"/>
                    </w:rPr>
                    <w:t>cimento, as estimativas foram realizadas considerando um cenário conservador.</w:t>
                  </w:r>
                </w:p>
              </w:txbxContent>
            </v:textbox>
          </v:shape>
        </w:pict>
      </w:r>
    </w:p>
    <w:p w:rsidR="008D6814" w:rsidRDefault="008D6814" w:rsidP="00CE3B89">
      <w:pPr>
        <w:pStyle w:val="PargrafodaLista"/>
        <w:ind w:left="360"/>
        <w:jc w:val="center"/>
      </w:pPr>
    </w:p>
    <w:p w:rsidR="008D6814" w:rsidRDefault="008D6814" w:rsidP="00CE3B89">
      <w:pPr>
        <w:pStyle w:val="PargrafodaLista"/>
        <w:ind w:left="360"/>
        <w:jc w:val="center"/>
      </w:pPr>
    </w:p>
    <w:p w:rsidR="008D6814" w:rsidRDefault="008D6814" w:rsidP="00CE3B89">
      <w:pPr>
        <w:pStyle w:val="PargrafodaLista"/>
        <w:ind w:left="360"/>
        <w:jc w:val="center"/>
      </w:pPr>
    </w:p>
    <w:p w:rsidR="00623F81" w:rsidRDefault="00623F81" w:rsidP="005B1220">
      <w:pPr>
        <w:spacing w:after="120"/>
        <w:jc w:val="both"/>
      </w:pPr>
    </w:p>
    <w:p w:rsidR="00623F81" w:rsidRDefault="00BD6135" w:rsidP="005B1220">
      <w:pPr>
        <w:spacing w:after="120"/>
        <w:jc w:val="both"/>
      </w:pPr>
      <w:r>
        <w:rPr>
          <w:noProof/>
          <w:lang w:eastAsia="pt-BR"/>
        </w:rPr>
        <w:pict>
          <v:shape id="_x0000_s1202" type="#_x0000_t202" style="position:absolute;left:0;text-align:left;margin-left:219.05pt;margin-top:7.85pt;width:249.45pt;height:517.75pt;z-index:251712000" stroked="f">
            <v:textbox style="mso-next-textbox:#_x0000_s1202">
              <w:txbxContent>
                <w:p w:rsidR="009B4572" w:rsidRDefault="00FA32D0" w:rsidP="009B4572">
                  <w:pPr>
                    <w:jc w:val="both"/>
                  </w:pPr>
                  <w:r>
                    <w:t>delimitações</w:t>
                  </w:r>
                  <w:r w:rsidR="006B0A2F">
                    <w:t xml:space="preserve"> já estabelecidas</w:t>
                  </w:r>
                  <w:r w:rsidR="00FB659F">
                    <w:t xml:space="preserve">, como exemplo as restrições ambientais e as propostas do Zoneamento Socioeconômico Ecológico de Mato Grosso. Além disso, </w:t>
                  </w:r>
                  <w:r w:rsidR="0094042E">
                    <w:t xml:space="preserve">a </w:t>
                  </w:r>
                  <w:r w:rsidR="00FB659F">
                    <w:t xml:space="preserve">participação de agentes da área e as projeções de entidades nacionais como a </w:t>
                  </w:r>
                  <w:r w:rsidR="009B4572">
                    <w:t>Conab e o Ministério da Agricultura e internacionais como o USDA, FAO e FAPRI foram consideradas no modelo.</w:t>
                  </w:r>
                </w:p>
                <w:p w:rsidR="000D78A4" w:rsidRDefault="000D78A4" w:rsidP="00EE7985">
                  <w:pPr>
                    <w:jc w:val="both"/>
                  </w:pPr>
                  <w:r>
                    <w:t>As produtividades foram estimadas pelo modelo de crescimento linear e a área de plantio considera limite mínimo e máximo de crescimento.</w:t>
                  </w:r>
                </w:p>
                <w:p w:rsidR="00EE7985" w:rsidRDefault="000D78A4" w:rsidP="00EE7985">
                  <w:pPr>
                    <w:jc w:val="both"/>
                  </w:pPr>
                  <w:r>
                    <w:t xml:space="preserve">Em algumas situações o crescimento é linear, porém é reduzido na metade do ciclo. Isso acontece para a suinocultura e avicultura, que crescem atualmente a taxas elevadas, porém deverão reduzir </w:t>
                  </w:r>
                  <w:r w:rsidR="00A1394D">
                    <w:t xml:space="preserve">a velocidade de crescimento </w:t>
                  </w:r>
                  <w:r>
                    <w:t xml:space="preserve">num prazo médio de 5 anos. </w:t>
                  </w:r>
                </w:p>
                <w:p w:rsidR="000D78A4" w:rsidRDefault="000D78A4" w:rsidP="000D78A4">
                  <w:pPr>
                    <w:spacing w:after="120"/>
                    <w:jc w:val="both"/>
                  </w:pPr>
                  <w:r>
                    <w:t>As atividades incluídas no estudo são soja, milho, arroz, bovinocultura de corte, avicultura e suinocultura, atividades que são acompanhadas direta ou indiretamente pelo IMEA.</w:t>
                  </w:r>
                </w:p>
                <w:p w:rsidR="000D78A4" w:rsidRDefault="000D78A4" w:rsidP="000D78A4">
                  <w:pPr>
                    <w:spacing w:after="120"/>
                    <w:jc w:val="both"/>
                  </w:pPr>
                  <w:r>
                    <w:t>As estimativas finais confirmam que Mato Grosso é um estado promissor e que, me</w:t>
                  </w:r>
                  <w:r w:rsidR="00F642D8">
                    <w:t>smo diante das atuais delimitações</w:t>
                  </w:r>
                  <w:r>
                    <w:t xml:space="preserve"> pelo uso da terra, tem grandes chances de ter papel de destaque no atendimento </w:t>
                  </w:r>
                  <w:r w:rsidR="00617CEE">
                    <w:t>ao</w:t>
                  </w:r>
                  <w:r>
                    <w:t xml:space="preserve"> aumento da produção de alimentos com vistas a atender o crescimento da população mundial. </w:t>
                  </w:r>
                </w:p>
                <w:p w:rsidR="000D78A4" w:rsidRDefault="000D78A4" w:rsidP="000D78A4">
                  <w:pPr>
                    <w:spacing w:after="120"/>
                    <w:jc w:val="both"/>
                  </w:pPr>
                  <w:r>
                    <w:t xml:space="preserve">As projeções </w:t>
                  </w:r>
                  <w:r w:rsidR="00E75228">
                    <w:t xml:space="preserve">ainda </w:t>
                  </w:r>
                  <w:r>
                    <w:t>podem ser revistas e/ou ajustad</w:t>
                  </w:r>
                  <w:r w:rsidR="004D7D6E">
                    <w:t>a</w:t>
                  </w:r>
                  <w:r>
                    <w:t xml:space="preserve">s </w:t>
                  </w:r>
                  <w:r w:rsidRPr="00A46A88">
                    <w:t>conforme se alteram os cenários.</w:t>
                  </w:r>
                </w:p>
                <w:p w:rsidR="000D78A4" w:rsidRDefault="000D78A4" w:rsidP="000D78A4">
                  <w:pPr>
                    <w:spacing w:after="120"/>
                    <w:jc w:val="both"/>
                  </w:pPr>
                </w:p>
                <w:p w:rsidR="000D78A4" w:rsidRDefault="000D78A4" w:rsidP="000D78A4">
                  <w:pPr>
                    <w:spacing w:after="120"/>
                    <w:jc w:val="both"/>
                  </w:pPr>
                </w:p>
                <w:p w:rsidR="00EE7985" w:rsidRPr="004E3DE2" w:rsidRDefault="00EE7985" w:rsidP="000D78A4"/>
              </w:txbxContent>
            </v:textbox>
          </v:shape>
        </w:pict>
      </w:r>
      <w:r>
        <w:rPr>
          <w:noProof/>
          <w:lang w:eastAsia="pt-BR"/>
        </w:rPr>
        <w:pict>
          <v:shape id="_x0000_s1200" type="#_x0000_t202" style="position:absolute;left:0;text-align:left;margin-left:-42.05pt;margin-top:7.85pt;width:247.05pt;height:513.05pt;z-index:251710976" stroked="f">
            <v:textbox style="mso-next-textbox:#_x0000_s1200">
              <w:txbxContent>
                <w:p w:rsidR="002B3EBA" w:rsidRPr="0094042E" w:rsidRDefault="002B3EBA" w:rsidP="002B3EBA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  <w:r w:rsidRPr="0094042E">
                    <w:rPr>
                      <w:b/>
                      <w:color w:val="0F243E" w:themeColor="text2" w:themeShade="80"/>
                    </w:rPr>
                    <w:t>METODOLOGIA</w:t>
                  </w:r>
                </w:p>
                <w:p w:rsidR="002B3EBA" w:rsidRDefault="002B3EBA" w:rsidP="002B3EBA">
                  <w:pPr>
                    <w:jc w:val="both"/>
                  </w:pPr>
                  <w:r>
                    <w:t xml:space="preserve">A produção agropecuária em Mato Grosso vinha crescendo, até alguns anos atrás, </w:t>
                  </w:r>
                  <w:r w:rsidR="00A1394D">
                    <w:t>fundamentalmente</w:t>
                  </w:r>
                  <w:r w:rsidR="004E23EC">
                    <w:t xml:space="preserve"> através da incorporação</w:t>
                  </w:r>
                  <w:r>
                    <w:t xml:space="preserve"> de novas áreas agrícolas disponíveis. A tecnologia empregada nas atividades também era fator importante deste crescimento, porém com uma participação menor. Nos últimos anos, </w:t>
                  </w:r>
                  <w:r w:rsidR="00A1394D">
                    <w:t>entretanto</w:t>
                  </w:r>
                  <w:r>
                    <w:t xml:space="preserve">, as restrições mundiais com relação </w:t>
                  </w:r>
                  <w:r w:rsidR="004E23EC">
                    <w:t>à</w:t>
                  </w:r>
                  <w:r>
                    <w:t xml:space="preserve"> utilização de áreas de florestas para produção agrícola, mesmo legalmente permitido, tem alterado o cenário de crescimento da produção. A partir de agora, o aumento da tecnologia na produção de carnes, disponibilizando aos poucos áreas de pastagens para produção </w:t>
                  </w:r>
                  <w:r w:rsidR="00886049">
                    <w:t>agrícola</w:t>
                  </w:r>
                  <w:r>
                    <w:t>, juntamente com os investimentos em agregação de valor a produção estadual com vistas a reduzir os custos em infra-estrutura proporcionais, são os novos fatores a serem considerados nas projeções futuras. É com essa visão que o IMEA identifica trajetórias possíveis para o desenvolvime</w:t>
                  </w:r>
                  <w:r w:rsidR="006179D8">
                    <w:t>n</w:t>
                  </w:r>
                  <w:r>
                    <w:t xml:space="preserve">to do estado.  </w:t>
                  </w:r>
                </w:p>
                <w:p w:rsidR="006179D8" w:rsidRDefault="006179D8" w:rsidP="002B3EBA">
                  <w:pPr>
                    <w:jc w:val="both"/>
                  </w:pPr>
                  <w:r>
                    <w:t xml:space="preserve">Os dados base utilizados nas projeções incluem uma série temporal de 10 anos e a safra de referência é a atual, 2009/10. As fontes utilizadas são IMEA para as últimas 3 safras e Conab para os demais. </w:t>
                  </w:r>
                </w:p>
                <w:p w:rsidR="006B0A2F" w:rsidRDefault="006B0A2F" w:rsidP="002B3EBA">
                  <w:pPr>
                    <w:jc w:val="both"/>
                  </w:pPr>
                  <w:r>
                    <w:t xml:space="preserve">Os valores projetados </w:t>
                  </w:r>
                  <w:r w:rsidR="00A6301D">
                    <w:t>consideram</w:t>
                  </w:r>
                  <w:r>
                    <w:t xml:space="preserve"> o crescimento dos anos anteriores, porém infere de forma mais concisa o potencial atual do estado dentro das </w:t>
                  </w:r>
                </w:p>
              </w:txbxContent>
            </v:textbox>
          </v:shape>
        </w:pict>
      </w: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BD6135" w:rsidP="005B1220">
      <w:pPr>
        <w:spacing w:after="120"/>
        <w:jc w:val="both"/>
      </w:pPr>
      <w:r>
        <w:rPr>
          <w:noProof/>
          <w:lang w:eastAsia="pt-BR"/>
        </w:rPr>
        <w:lastRenderedPageBreak/>
        <w:pict>
          <v:shape id="_x0000_s1241" type="#_x0000_t202" style="position:absolute;left:0;text-align:left;margin-left:215.95pt;margin-top:-17.5pt;width:256.25pt;height:175.75pt;z-index:251738624" stroked="f">
            <v:textbox>
              <w:txbxContent>
                <w:p w:rsidR="006E64F8" w:rsidRDefault="006E64F8">
                  <w:r w:rsidRPr="006E64F8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182587" cy="2149434"/>
                        <wp:effectExtent l="0" t="0" r="0" b="0"/>
                        <wp:docPr id="7" name="Gráfico 7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09" type="#_x0000_t202" style="position:absolute;left:0;text-align:left;margin-left:9.85pt;margin-top:-64.45pt;width:413.75pt;height:22.45pt;z-index:251717120" stroked="f">
            <v:textbox style="mso-next-textbox:#_x0000_s1209">
              <w:txbxContent>
                <w:p w:rsidR="00045FDD" w:rsidRPr="00E00D39" w:rsidRDefault="00045FDD" w:rsidP="00045FDD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4F6228" w:themeColor="accent3" w:themeShade="8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4F6228" w:themeColor="accent3" w:themeShade="80"/>
                      <w:sz w:val="18"/>
                      <w:szCs w:val="18"/>
                    </w:rPr>
                    <w:t>Mato Grosso/Brasil, Janeiro de 2010 – Projeções para a Produção Agropecuária em Mato Grosso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184" type="#_x0000_t202" style="position:absolute;left:0;text-align:left;margin-left:215.95pt;margin-top:-17.5pt;width:256.25pt;height:769.9pt;z-index:251701760" stroked="f" strokecolor="#943634 [2405]">
            <v:textbox style="mso-next-textbox:#_x0000_s1184">
              <w:txbxContent>
                <w:p w:rsidR="0017483C" w:rsidRDefault="0017483C" w:rsidP="00892094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6E64F8" w:rsidRDefault="006E64F8" w:rsidP="00892094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6E64F8" w:rsidRDefault="006E64F8" w:rsidP="00892094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6E64F8" w:rsidRDefault="006E64F8" w:rsidP="00892094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6E64F8" w:rsidRDefault="006E64F8" w:rsidP="00892094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6E64F8" w:rsidRDefault="006E64F8" w:rsidP="00892094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6E64F8" w:rsidRDefault="006E64F8" w:rsidP="00892094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892094" w:rsidRPr="00B47D87" w:rsidRDefault="00892094" w:rsidP="00892094">
                  <w:pPr>
                    <w:jc w:val="both"/>
                    <w:rPr>
                      <w:color w:val="0F243E" w:themeColor="text2" w:themeShade="80"/>
                    </w:rPr>
                  </w:pPr>
                  <w:r w:rsidRPr="00B47D87">
                    <w:rPr>
                      <w:b/>
                      <w:color w:val="0F243E" w:themeColor="text2" w:themeShade="80"/>
                    </w:rPr>
                    <w:t>MILHO</w:t>
                  </w:r>
                  <w:r w:rsidR="00EB25A3">
                    <w:rPr>
                      <w:b/>
                      <w:color w:val="0F243E" w:themeColor="text2" w:themeShade="80"/>
                    </w:rPr>
                    <w:t xml:space="preserve"> 2° SAFRA</w:t>
                  </w:r>
                </w:p>
                <w:p w:rsidR="00892094" w:rsidRDefault="00892094" w:rsidP="00892094">
                  <w:pPr>
                    <w:jc w:val="both"/>
                  </w:pPr>
                  <w:r w:rsidRPr="00061197">
                    <w:rPr>
                      <w:i/>
                    </w:rPr>
                    <w:t>Produtividade:</w:t>
                  </w:r>
                  <w:r w:rsidRPr="00103691">
                    <w:rPr>
                      <w:b/>
                    </w:rPr>
                    <w:t xml:space="preserve"> </w:t>
                  </w:r>
                  <w:r w:rsidR="009858C4">
                    <w:t>Assim como na soja</w:t>
                  </w:r>
                  <w:r w:rsidR="00D57741">
                    <w:t>,</w:t>
                  </w:r>
                  <w:r w:rsidR="009858C4">
                    <w:rPr>
                      <w:b/>
                    </w:rPr>
                    <w:t xml:space="preserve"> </w:t>
                  </w:r>
                  <w:r w:rsidR="009858C4" w:rsidRPr="009858C4">
                    <w:t xml:space="preserve">a taxa de crescimento da produtividade do milho foi estimada dentro das previsões de empresas de sementes e de pesquisas, através da introdução de novas </w:t>
                  </w:r>
                  <w:r w:rsidR="009858C4">
                    <w:t xml:space="preserve">variedades de </w:t>
                  </w:r>
                  <w:r w:rsidR="009858C4" w:rsidRPr="009858C4">
                    <w:t xml:space="preserve">sementes </w:t>
                  </w:r>
                  <w:r w:rsidR="00D57741">
                    <w:t xml:space="preserve">com </w:t>
                  </w:r>
                  <w:r w:rsidR="00F8732E">
                    <w:t>maior</w:t>
                  </w:r>
                  <w:r w:rsidR="009858C4">
                    <w:t xml:space="preserve"> tecnologia. A previsão é de incremento de </w:t>
                  </w:r>
                  <w:r w:rsidRPr="009858C4">
                    <w:t>3% ao ano</w:t>
                  </w:r>
                  <w:r w:rsidR="009858C4">
                    <w:t xml:space="preserve"> (linear)</w:t>
                  </w:r>
                  <w:r w:rsidRPr="009858C4">
                    <w:t>.</w:t>
                  </w:r>
                  <w:r w:rsidR="00795672">
                    <w:t xml:space="preserve"> </w:t>
                  </w:r>
                  <w:r w:rsidR="00B17ECB">
                    <w:t xml:space="preserve">Na safra corrente o IMEA estima que Mato </w:t>
                  </w:r>
                  <w:r w:rsidR="00F642D8">
                    <w:t>Grosso colha produtividade de 76</w:t>
                  </w:r>
                  <w:r w:rsidR="00B17ECB">
                    <w:t xml:space="preserve"> sc/ha. </w:t>
                  </w:r>
                  <w:r w:rsidR="00795672">
                    <w:t xml:space="preserve">Desta forma, </w:t>
                  </w:r>
                  <w:r w:rsidR="00B17ECB">
                    <w:t>a produtividade em 10 anos será de 91,4 sc/ha.</w:t>
                  </w:r>
                  <w:r w:rsidR="00795672">
                    <w:t xml:space="preserve"> </w:t>
                  </w:r>
                  <w:r w:rsidRPr="00EA63D6">
                    <w:t xml:space="preserve"> </w:t>
                  </w:r>
                </w:p>
                <w:p w:rsidR="00391FBD" w:rsidRDefault="00391FBD" w:rsidP="00892094">
                  <w:pPr>
                    <w:jc w:val="both"/>
                  </w:pPr>
                </w:p>
                <w:p w:rsidR="009858C4" w:rsidRDefault="009858C4" w:rsidP="00892094">
                  <w:pPr>
                    <w:jc w:val="both"/>
                  </w:pPr>
                </w:p>
                <w:p w:rsidR="009858C4" w:rsidRDefault="009858C4" w:rsidP="00892094">
                  <w:pPr>
                    <w:jc w:val="both"/>
                  </w:pPr>
                </w:p>
                <w:p w:rsidR="009858C4" w:rsidRDefault="009858C4" w:rsidP="00892094">
                  <w:pPr>
                    <w:jc w:val="both"/>
                  </w:pPr>
                </w:p>
                <w:p w:rsidR="009858C4" w:rsidRDefault="009858C4" w:rsidP="00892094">
                  <w:pPr>
                    <w:jc w:val="both"/>
                  </w:pPr>
                </w:p>
                <w:p w:rsidR="00892094" w:rsidRDefault="00892094" w:rsidP="00892094">
                  <w:pPr>
                    <w:jc w:val="both"/>
                  </w:pPr>
                </w:p>
                <w:p w:rsidR="00892094" w:rsidRDefault="00892094" w:rsidP="00892094">
                  <w:pPr>
                    <w:jc w:val="both"/>
                  </w:pPr>
                </w:p>
                <w:p w:rsidR="00ED7642" w:rsidRPr="0000055D" w:rsidRDefault="00892094" w:rsidP="007F7BA4">
                  <w:pPr>
                    <w:jc w:val="both"/>
                  </w:pPr>
                  <w:r w:rsidRPr="00061197">
                    <w:rPr>
                      <w:i/>
                    </w:rPr>
                    <w:t>Área plantada:</w:t>
                  </w:r>
                  <w:r>
                    <w:rPr>
                      <w:b/>
                    </w:rPr>
                    <w:t xml:space="preserve"> </w:t>
                  </w:r>
                  <w:r w:rsidRPr="0000055D">
                    <w:t>A área plantada de milho acompanha o crescimento e os cenários da área de soja, de baixo, médio e alto crescimento.</w:t>
                  </w:r>
                  <w:r>
                    <w:t xml:space="preserve"> A projeção é uma participação estável em 35% da área de soja. Atualmente, a área de milho segunda safra ocupa 28% da área de soja. O IMEA projeta um pequeno </w:t>
                  </w:r>
                  <w:r w:rsidR="0094042E">
                    <w:t>incremento nessa participação</w:t>
                  </w:r>
                  <w:r w:rsidR="007F7BA4">
                    <w:t>. Os motivos são a concorrência com o cultivo do algodão segunda-</w:t>
                  </w:r>
                  <w:r w:rsidR="007F7BA4" w:rsidRPr="007F7BA4">
                    <w:t xml:space="preserve"> </w:t>
                  </w:r>
                  <w:r w:rsidR="007F7BA4">
                    <w:t>safra, o mercado para esse milho e, também, a utilização de outras forrageiras no processo de</w:t>
                  </w:r>
                  <w:r w:rsidR="007F7BA4" w:rsidRPr="007F7BA4">
                    <w:t xml:space="preserve"> </w:t>
                  </w:r>
                  <w:r w:rsidR="007F7BA4">
                    <w:t>rotação de culturas.</w:t>
                  </w:r>
                  <w:r w:rsidR="00ED7642">
                    <w:t xml:space="preserve"> Desta forma, a área de milho passará dos atuais 1,7 milhões para 2,7 milhões de hectares. O limite inferior é de crescimento para 2,5 milhões e limite superior de 3 milhões de hectares.</w:t>
                  </w:r>
                </w:p>
                <w:p w:rsidR="007F7BA4" w:rsidRDefault="007F7BA4" w:rsidP="007F7BA4">
                  <w:pPr>
                    <w:jc w:val="both"/>
                  </w:pPr>
                </w:p>
                <w:p w:rsidR="00BB151F" w:rsidRDefault="00BB151F" w:rsidP="007F7BA4"/>
                <w:p w:rsidR="00CF2356" w:rsidRDefault="00CF2356" w:rsidP="007F7BA4"/>
                <w:p w:rsidR="00CF2356" w:rsidRDefault="00CF2356" w:rsidP="007F7BA4"/>
                <w:p w:rsidR="00CF2356" w:rsidRDefault="00CF2356" w:rsidP="007F7BA4"/>
                <w:p w:rsidR="00CF2356" w:rsidRDefault="00CF2356" w:rsidP="007F7BA4"/>
                <w:p w:rsidR="00A159E3" w:rsidRDefault="00A159E3" w:rsidP="00CF2356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183" type="#_x0000_t202" style="position:absolute;left:0;text-align:left;margin-left:-46.55pt;margin-top:-17.85pt;width:251.6pt;height:770.25pt;z-index:251700736" stroked="f" strokecolor="#943634 [2405]">
            <v:textbox style="mso-next-textbox:#_x0000_s1183">
              <w:txbxContent>
                <w:p w:rsidR="009B5D7D" w:rsidRPr="00B47D87" w:rsidRDefault="009B5D7D" w:rsidP="00773FA0">
                  <w:pPr>
                    <w:spacing w:after="120"/>
                    <w:jc w:val="both"/>
                    <w:rPr>
                      <w:b/>
                      <w:color w:val="0F243E" w:themeColor="text2" w:themeShade="80"/>
                    </w:rPr>
                  </w:pPr>
                  <w:r w:rsidRPr="00B47D87">
                    <w:rPr>
                      <w:b/>
                      <w:color w:val="0F243E" w:themeColor="text2" w:themeShade="80"/>
                    </w:rPr>
                    <w:t xml:space="preserve">SOJA           </w:t>
                  </w:r>
                </w:p>
                <w:p w:rsidR="00EA6ED9" w:rsidRDefault="002E2321" w:rsidP="00773FA0">
                  <w:pPr>
                    <w:spacing w:after="120"/>
                    <w:jc w:val="both"/>
                  </w:pPr>
                  <w:r>
                    <w:t xml:space="preserve">A </w:t>
                  </w:r>
                  <w:r w:rsidR="00FC07CB">
                    <w:t>cultura da soja continuará sendo a atividade mais importante em termos de área de cultivo em M</w:t>
                  </w:r>
                  <w:r w:rsidR="00F543FC">
                    <w:t>ato Grosso nos próximos 10 anos</w:t>
                  </w:r>
                  <w:r w:rsidR="00BC71BB">
                    <w:t>, de acordo com projeções desse</w:t>
                  </w:r>
                  <w:r w:rsidR="00F543FC">
                    <w:t xml:space="preserve"> Instituto.</w:t>
                  </w:r>
                  <w:r w:rsidR="00BC71BB">
                    <w:t xml:space="preserve"> Esse fato </w:t>
                  </w:r>
                  <w:r w:rsidR="00C00C76">
                    <w:t xml:space="preserve">direcionará também a área de cultivo de outras culturas como o milho 2º safra, arroz </w:t>
                  </w:r>
                  <w:r w:rsidR="00DB61DF">
                    <w:t>e</w:t>
                  </w:r>
                  <w:r w:rsidR="00C00C76">
                    <w:t xml:space="preserve"> algodão. </w:t>
                  </w:r>
                </w:p>
                <w:p w:rsidR="00B15418" w:rsidRDefault="009B5D7D" w:rsidP="00773FA0">
                  <w:pPr>
                    <w:spacing w:after="120"/>
                    <w:jc w:val="both"/>
                  </w:pPr>
                  <w:r w:rsidRPr="00061197">
                    <w:rPr>
                      <w:i/>
                    </w:rPr>
                    <w:t>Produtividade:</w:t>
                  </w:r>
                  <w:r>
                    <w:rPr>
                      <w:b/>
                    </w:rPr>
                    <w:t xml:space="preserve"> </w:t>
                  </w:r>
                  <w:r w:rsidRPr="000130DE">
                    <w:t>A pr</w:t>
                  </w:r>
                  <w:r w:rsidR="008F6BDF">
                    <w:t xml:space="preserve">odutividade da soja foi </w:t>
                  </w:r>
                  <w:r w:rsidR="00B51994">
                    <w:t xml:space="preserve">estimada com base em entrevistas junto à pesquisadores, órgãos de pesquisas e também empresas de sementes. De acordo com </w:t>
                  </w:r>
                  <w:r w:rsidR="007142E5">
                    <w:t xml:space="preserve">esses agentes, é </w:t>
                  </w:r>
                  <w:r w:rsidR="00C80F1B">
                    <w:t>provável</w:t>
                  </w:r>
                  <w:r w:rsidR="007142E5">
                    <w:t xml:space="preserve"> um crescimento linear de </w:t>
                  </w:r>
                  <w:r>
                    <w:t>1,5% ao ano. A produtividade atual, de 50 sacas p</w:t>
                  </w:r>
                  <w:r w:rsidR="00F642D8">
                    <w:t>or hectare, aumentará em 8 sc/ha</w:t>
                  </w:r>
                  <w:r>
                    <w:t>, 16%</w:t>
                  </w:r>
                  <w:r w:rsidR="00306DD1">
                    <w:t xml:space="preserve"> em 10 anos</w:t>
                  </w:r>
                  <w:r>
                    <w:t>.</w:t>
                  </w:r>
                </w:p>
                <w:p w:rsidR="00391FBD" w:rsidRDefault="00391FBD" w:rsidP="00773FA0">
                  <w:pPr>
                    <w:spacing w:after="120"/>
                    <w:jc w:val="both"/>
                  </w:pPr>
                </w:p>
                <w:p w:rsidR="00B15418" w:rsidRDefault="00B15418" w:rsidP="00773FA0">
                  <w:pPr>
                    <w:spacing w:after="120"/>
                    <w:jc w:val="both"/>
                  </w:pPr>
                </w:p>
                <w:p w:rsidR="00B15418" w:rsidRDefault="00B15418" w:rsidP="00773FA0">
                  <w:pPr>
                    <w:spacing w:after="120"/>
                    <w:jc w:val="both"/>
                  </w:pPr>
                </w:p>
                <w:p w:rsidR="00B15418" w:rsidRDefault="00B15418" w:rsidP="00773FA0">
                  <w:pPr>
                    <w:spacing w:after="120"/>
                    <w:jc w:val="both"/>
                  </w:pPr>
                </w:p>
                <w:p w:rsidR="00B15418" w:rsidRDefault="00B15418" w:rsidP="00773FA0">
                  <w:pPr>
                    <w:spacing w:after="120"/>
                    <w:jc w:val="both"/>
                  </w:pPr>
                </w:p>
                <w:p w:rsidR="00B15418" w:rsidRDefault="00B15418" w:rsidP="00773FA0">
                  <w:pPr>
                    <w:spacing w:after="120"/>
                    <w:jc w:val="both"/>
                  </w:pPr>
                </w:p>
                <w:p w:rsidR="009B5D7D" w:rsidRPr="000130DE" w:rsidRDefault="009B5D7D" w:rsidP="00773FA0">
                  <w:pPr>
                    <w:spacing w:after="120"/>
                    <w:jc w:val="both"/>
                  </w:pPr>
                  <w:r>
                    <w:t xml:space="preserve"> </w:t>
                  </w:r>
                </w:p>
                <w:p w:rsidR="00994239" w:rsidRDefault="00994239" w:rsidP="00773FA0">
                  <w:pPr>
                    <w:jc w:val="both"/>
                  </w:pPr>
                </w:p>
                <w:p w:rsidR="00BA7CB0" w:rsidRDefault="00BA7CB0" w:rsidP="00773FA0">
                  <w:pPr>
                    <w:jc w:val="both"/>
                    <w:rPr>
                      <w:b/>
                    </w:rPr>
                  </w:pPr>
                  <w:r w:rsidRPr="00061197">
                    <w:rPr>
                      <w:i/>
                    </w:rPr>
                    <w:t>Área plantada:</w:t>
                  </w:r>
                  <w:r w:rsidR="007F2311">
                    <w:t xml:space="preserve"> O IMEA projeta crescimento linear de </w:t>
                  </w:r>
                  <w:r w:rsidR="00A62E84">
                    <w:t>2,5% ao ano,</w:t>
                  </w:r>
                  <w:r w:rsidR="00574332">
                    <w:t xml:space="preserve"> passando de 6 milhões para 7,7 milhões de hectares em 10 anos</w:t>
                  </w:r>
                  <w:r w:rsidR="008D14E5">
                    <w:t xml:space="preserve">. </w:t>
                  </w:r>
                  <w:r w:rsidR="007F2311">
                    <w:t xml:space="preserve">Essa taxa considera o crescimento baseado nos projetos atuais e já em andamento de infra-estrutura logística para exportação da produção interna. Em segundo ponto, o consumo mundial pela oleaginosa também foi considerado nas estimativas. O limite mínimo, de </w:t>
                  </w:r>
                  <w:r w:rsidR="008D14E5">
                    <w:t>1,5</w:t>
                  </w:r>
                  <w:r w:rsidR="001B7C4A">
                    <w:t>%</w:t>
                  </w:r>
                  <w:r w:rsidR="007F2311">
                    <w:t xml:space="preserve"> ao ano</w:t>
                  </w:r>
                  <w:r w:rsidR="008D14E5">
                    <w:t xml:space="preserve"> e máxim</w:t>
                  </w:r>
                  <w:r w:rsidR="007F2311">
                    <w:t>o</w:t>
                  </w:r>
                  <w:r w:rsidR="008D14E5">
                    <w:t xml:space="preserve"> de 3,5% ao </w:t>
                  </w:r>
                  <w:r w:rsidR="00A62E84">
                    <w:t>ano</w:t>
                  </w:r>
                  <w:r w:rsidR="007F2311">
                    <w:t xml:space="preserve"> dependerá fundamentalmente o avanço desse</w:t>
                  </w:r>
                  <w:r w:rsidR="000C1DCC">
                    <w:t>s</w:t>
                  </w:r>
                  <w:r w:rsidR="007F2311">
                    <w:t xml:space="preserve"> projetos logísticos.</w:t>
                  </w:r>
                  <w:r>
                    <w:t xml:space="preserve"> </w:t>
                  </w:r>
                  <w:r w:rsidR="00557D2D">
                    <w:t>Além disso,</w:t>
                  </w:r>
                  <w:r w:rsidR="000C1DCC">
                    <w:t xml:space="preserve"> </w:t>
                  </w:r>
                  <w:r>
                    <w:t xml:space="preserve">esses valores consideram a progressiva, porém moderada, utilização de áreas de pastagens para produção de grãos. </w:t>
                  </w:r>
                </w:p>
                <w:p w:rsidR="00BA7CB0" w:rsidRDefault="00BA7CB0" w:rsidP="008F6BDF">
                  <w:pPr>
                    <w:jc w:val="both"/>
                  </w:pPr>
                  <w:bookmarkStart w:id="0" w:name="OLE_LINK3"/>
                  <w:bookmarkStart w:id="1" w:name="OLE_LINK4"/>
                  <w:r w:rsidRPr="00061197">
                    <w:rPr>
                      <w:i/>
                    </w:rPr>
                    <w:t>Produção:</w:t>
                  </w:r>
                  <w:r>
                    <w:rPr>
                      <w:b/>
                    </w:rPr>
                    <w:t xml:space="preserve"> </w:t>
                  </w:r>
                  <w:r w:rsidRPr="00A50D7D">
                    <w:t>A</w:t>
                  </w:r>
                  <w:r>
                    <w:t xml:space="preserve"> produção acompanhou as estima</w:t>
                  </w:r>
                  <w:r w:rsidRPr="00A50D7D">
                    <w:t>tivas de</w:t>
                  </w:r>
                  <w:r>
                    <w:t xml:space="preserve"> produtividade e área de produção.</w:t>
                  </w:r>
                </w:p>
                <w:bookmarkEnd w:id="0"/>
                <w:bookmarkEnd w:id="1"/>
                <w:p w:rsidR="00BA7CB0" w:rsidRDefault="00BA7CB0" w:rsidP="00773FA0">
                  <w:pPr>
                    <w:jc w:val="both"/>
                  </w:pPr>
                  <w:r>
                    <w:t>Com essa metodologia o IMEA estima que a produção de soja em Mato Grosso crescer</w:t>
                  </w:r>
                  <w:r w:rsidR="008F6BDF">
                    <w:t>á</w:t>
                  </w:r>
                  <w:r>
                    <w:t xml:space="preserve"> </w:t>
                  </w:r>
                  <w:r w:rsidR="008F6BDF">
                    <w:t>49%</w:t>
                  </w:r>
                  <w:r>
                    <w:t xml:space="preserve"> até 2020, ou, passar dos atuais 18,22 milhões de t</w:t>
                  </w:r>
                  <w:r w:rsidR="00012F89">
                    <w:t>oneladas para uma produção de</w:t>
                  </w:r>
                  <w:r w:rsidR="002C1EB6">
                    <w:t xml:space="preserve"> </w:t>
                  </w:r>
                  <w:r w:rsidR="00012F89">
                    <w:t>27,07 m</w:t>
                  </w:r>
                  <w:r w:rsidR="002C1EB6">
                    <w:t>ilhões de toneladas, com limite</w:t>
                  </w:r>
                  <w:r w:rsidR="00012F89">
                    <w:t xml:space="preserve"> mínimo e máximo de</w:t>
                  </w:r>
                  <w:r>
                    <w:t xml:space="preserve"> 24,5 a 29,8 milhões</w:t>
                  </w:r>
                  <w:r w:rsidR="001C43BD">
                    <w:t>, respectivamente</w:t>
                  </w:r>
                  <w:r>
                    <w:t xml:space="preserve">. </w:t>
                  </w:r>
                </w:p>
                <w:p w:rsidR="00125A8B" w:rsidRDefault="00125A8B" w:rsidP="00773FA0">
                  <w:pPr>
                    <w:jc w:val="both"/>
                  </w:pPr>
                </w:p>
                <w:p w:rsidR="00125A8B" w:rsidRDefault="00125A8B" w:rsidP="00773FA0">
                  <w:pPr>
                    <w:jc w:val="both"/>
                  </w:pPr>
                </w:p>
                <w:p w:rsidR="00125A8B" w:rsidRDefault="00125A8B" w:rsidP="00773FA0">
                  <w:pPr>
                    <w:jc w:val="both"/>
                  </w:pPr>
                </w:p>
                <w:p w:rsidR="00125A8B" w:rsidRDefault="00125A8B" w:rsidP="00773FA0">
                  <w:pPr>
                    <w:jc w:val="both"/>
                  </w:pPr>
                </w:p>
                <w:p w:rsidR="00125A8B" w:rsidRDefault="00125A8B" w:rsidP="00773FA0">
                  <w:pPr>
                    <w:jc w:val="both"/>
                  </w:pPr>
                </w:p>
                <w:p w:rsidR="00125A8B" w:rsidRDefault="00125A8B" w:rsidP="00773FA0">
                  <w:pPr>
                    <w:jc w:val="both"/>
                  </w:pPr>
                </w:p>
                <w:p w:rsidR="00125A8B" w:rsidRDefault="00125A8B" w:rsidP="00773FA0">
                  <w:pPr>
                    <w:jc w:val="both"/>
                  </w:pPr>
                </w:p>
              </w:txbxContent>
            </v:textbox>
          </v:shape>
        </w:pict>
      </w: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623F81" w:rsidRDefault="00623F81" w:rsidP="005B1220">
      <w:pPr>
        <w:spacing w:after="120"/>
        <w:jc w:val="both"/>
      </w:pPr>
    </w:p>
    <w:p w:rsidR="005B1220" w:rsidRPr="00A46A88" w:rsidRDefault="005B1220" w:rsidP="005B1220">
      <w:pPr>
        <w:spacing w:after="120"/>
        <w:jc w:val="both"/>
      </w:pPr>
      <w:r w:rsidRPr="00A46A88">
        <w:t xml:space="preserve"> </w:t>
      </w:r>
    </w:p>
    <w:p w:rsidR="008D6814" w:rsidRPr="004F5960" w:rsidRDefault="008D6814" w:rsidP="008D6814">
      <w:pPr>
        <w:spacing w:after="0"/>
        <w:ind w:left="-142" w:right="-283" w:firstLine="850"/>
        <w:jc w:val="both"/>
      </w:pPr>
    </w:p>
    <w:p w:rsidR="008D6814" w:rsidRDefault="008D6814" w:rsidP="00CE3B89">
      <w:pPr>
        <w:pStyle w:val="PargrafodaLista"/>
        <w:ind w:left="360"/>
        <w:jc w:val="center"/>
      </w:pPr>
    </w:p>
    <w:p w:rsidR="008D6814" w:rsidRDefault="008D6814" w:rsidP="00CE3B89">
      <w:pPr>
        <w:pStyle w:val="PargrafodaLista"/>
        <w:ind w:left="360"/>
        <w:jc w:val="center"/>
      </w:pPr>
    </w:p>
    <w:p w:rsidR="008D6814" w:rsidRDefault="008D6814" w:rsidP="00CE3B89">
      <w:pPr>
        <w:pStyle w:val="PargrafodaLista"/>
        <w:ind w:left="360"/>
        <w:jc w:val="center"/>
      </w:pPr>
    </w:p>
    <w:p w:rsidR="008D6814" w:rsidRDefault="008D6814" w:rsidP="00CE3B89">
      <w:pPr>
        <w:pStyle w:val="PargrafodaLista"/>
        <w:ind w:left="360"/>
        <w:jc w:val="center"/>
      </w:pPr>
    </w:p>
    <w:p w:rsidR="008D6814" w:rsidRDefault="008D6814" w:rsidP="00CE3B89">
      <w:pPr>
        <w:pStyle w:val="PargrafodaLista"/>
        <w:ind w:left="360"/>
        <w:jc w:val="center"/>
      </w:pPr>
    </w:p>
    <w:p w:rsidR="008D6814" w:rsidRDefault="008D6814" w:rsidP="00CE3B89">
      <w:pPr>
        <w:pStyle w:val="PargrafodaLista"/>
        <w:ind w:left="360"/>
        <w:jc w:val="center"/>
      </w:pPr>
    </w:p>
    <w:p w:rsidR="008246DD" w:rsidRDefault="00BD6135" w:rsidP="00B152E1">
      <w:pPr>
        <w:pStyle w:val="PargrafodaLista"/>
        <w:jc w:val="both"/>
      </w:pPr>
      <w:r>
        <w:rPr>
          <w:noProof/>
          <w:lang w:eastAsia="pt-BR"/>
        </w:rPr>
        <w:pict>
          <v:shape id="_x0000_s1232" type="#_x0000_t202" style="position:absolute;left:0;text-align:left;margin-left:-50.35pt;margin-top:1.55pt;width:262.5pt;height:142.15pt;z-index:251731456" stroked="f">
            <v:textbox style="mso-next-textbox:#_x0000_s1232">
              <w:txbxContent>
                <w:p w:rsidR="00994239" w:rsidRDefault="00994239">
                  <w:r w:rsidRPr="00994239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135086" cy="1745673"/>
                        <wp:effectExtent l="0" t="0" r="0" b="0"/>
                        <wp:docPr id="96" name="Gráfico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246DD" w:rsidRDefault="008246DD" w:rsidP="00B152E1">
      <w:pPr>
        <w:pStyle w:val="PargrafodaLista"/>
        <w:jc w:val="both"/>
      </w:pPr>
    </w:p>
    <w:p w:rsidR="008246DD" w:rsidRDefault="008246DD" w:rsidP="00B152E1">
      <w:pPr>
        <w:pStyle w:val="PargrafodaLista"/>
        <w:jc w:val="both"/>
      </w:pPr>
    </w:p>
    <w:p w:rsidR="008246DD" w:rsidRDefault="008246DD" w:rsidP="00B152E1">
      <w:pPr>
        <w:pStyle w:val="PargrafodaLista"/>
        <w:jc w:val="both"/>
      </w:pPr>
    </w:p>
    <w:p w:rsidR="008246DD" w:rsidRDefault="008246DD" w:rsidP="00B152E1">
      <w:pPr>
        <w:pStyle w:val="PargrafodaLista"/>
        <w:jc w:val="both"/>
      </w:pPr>
    </w:p>
    <w:p w:rsidR="008246DD" w:rsidRDefault="00E5581E" w:rsidP="00B152E1">
      <w:pPr>
        <w:pStyle w:val="PargrafodaLista"/>
        <w:jc w:val="both"/>
      </w:pPr>
      <w:r>
        <w:rPr>
          <w:b/>
          <w:color w:val="244061" w:themeColor="accent1" w:themeShade="80"/>
        </w:rPr>
        <w:t>ARROZ</w:t>
      </w:r>
    </w:p>
    <w:p w:rsidR="008246DD" w:rsidRDefault="00BD6135" w:rsidP="00B152E1">
      <w:pPr>
        <w:pStyle w:val="PargrafodaLista"/>
        <w:jc w:val="both"/>
      </w:pPr>
      <w:r>
        <w:rPr>
          <w:noProof/>
          <w:lang w:eastAsia="pt-BR"/>
        </w:rPr>
        <w:pict>
          <v:shape id="_x0000_s1233" type="#_x0000_t202" style="position:absolute;left:0;text-align:left;margin-left:215.95pt;margin-top:15.1pt;width:256.25pt;height:158.55pt;z-index:251732480" stroked="f">
            <v:textbox>
              <w:txbxContent>
                <w:p w:rsidR="00E13E60" w:rsidRDefault="00864480">
                  <w:r w:rsidRPr="00864480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071495" cy="1839697"/>
                        <wp:effectExtent l="0" t="0" r="0" b="0"/>
                        <wp:docPr id="3" name="Gráfico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07753" w:rsidRDefault="00D07753" w:rsidP="00B152E1">
      <w:pPr>
        <w:pStyle w:val="PargrafodaLista"/>
        <w:jc w:val="both"/>
      </w:pPr>
    </w:p>
    <w:p w:rsidR="00D07753" w:rsidRDefault="00D07753" w:rsidP="00B152E1">
      <w:pPr>
        <w:pStyle w:val="PargrafodaLista"/>
        <w:jc w:val="both"/>
      </w:pPr>
    </w:p>
    <w:p w:rsidR="00D07753" w:rsidRDefault="00D07753" w:rsidP="00B152E1">
      <w:pPr>
        <w:pStyle w:val="PargrafodaLista"/>
        <w:jc w:val="both"/>
      </w:pPr>
    </w:p>
    <w:p w:rsidR="00D07753" w:rsidRDefault="00D07753" w:rsidP="00B152E1">
      <w:pPr>
        <w:pStyle w:val="PargrafodaLista"/>
        <w:jc w:val="both"/>
      </w:pPr>
    </w:p>
    <w:p w:rsidR="00D07753" w:rsidRDefault="00D07753" w:rsidP="00B152E1">
      <w:pPr>
        <w:pStyle w:val="PargrafodaLista"/>
        <w:jc w:val="both"/>
      </w:pPr>
    </w:p>
    <w:p w:rsidR="00D07753" w:rsidRDefault="00D07753" w:rsidP="00B152E1">
      <w:pPr>
        <w:pStyle w:val="PargrafodaLista"/>
        <w:jc w:val="both"/>
      </w:pPr>
    </w:p>
    <w:p w:rsidR="00D07753" w:rsidRDefault="00D07753" w:rsidP="00B152E1">
      <w:pPr>
        <w:pStyle w:val="PargrafodaLista"/>
        <w:jc w:val="both"/>
      </w:pPr>
    </w:p>
    <w:p w:rsidR="003E5514" w:rsidRDefault="003E5514" w:rsidP="00B152E1">
      <w:pPr>
        <w:pStyle w:val="PargrafodaLista"/>
        <w:jc w:val="both"/>
      </w:pPr>
    </w:p>
    <w:p w:rsidR="003E5514" w:rsidRDefault="003E5514" w:rsidP="00B152E1">
      <w:pPr>
        <w:pStyle w:val="PargrafodaLista"/>
        <w:jc w:val="both"/>
      </w:pPr>
    </w:p>
    <w:p w:rsidR="003E5514" w:rsidRDefault="003E5514" w:rsidP="00B152E1">
      <w:pPr>
        <w:pStyle w:val="PargrafodaLista"/>
        <w:jc w:val="both"/>
      </w:pPr>
    </w:p>
    <w:p w:rsidR="003E5514" w:rsidRDefault="003E5514" w:rsidP="00B152E1">
      <w:pPr>
        <w:pStyle w:val="PargrafodaLista"/>
        <w:jc w:val="both"/>
      </w:pPr>
    </w:p>
    <w:p w:rsidR="003E5514" w:rsidRDefault="003E5514" w:rsidP="00D36253">
      <w:pPr>
        <w:pStyle w:val="PargrafodaLista"/>
        <w:tabs>
          <w:tab w:val="left" w:pos="4301"/>
        </w:tabs>
        <w:jc w:val="both"/>
      </w:pPr>
    </w:p>
    <w:p w:rsidR="00E35EDF" w:rsidRDefault="00BD6135" w:rsidP="00D36253">
      <w:pPr>
        <w:pStyle w:val="PargrafodaLista"/>
        <w:tabs>
          <w:tab w:val="left" w:pos="4301"/>
        </w:tabs>
        <w:jc w:val="both"/>
      </w:pPr>
      <w:r>
        <w:rPr>
          <w:noProof/>
          <w:lang w:eastAsia="pt-BR"/>
        </w:rPr>
        <w:lastRenderedPageBreak/>
        <w:pict>
          <v:shape id="_x0000_s1210" type="#_x0000_t202" style="position:absolute;left:0;text-align:left;margin-left:-11pt;margin-top:-67.3pt;width:413.75pt;height:22.45pt;z-index:251718144" stroked="f">
            <v:textbox style="mso-next-textbox:#_x0000_s1210">
              <w:txbxContent>
                <w:p w:rsidR="00045FDD" w:rsidRPr="00E00D39" w:rsidRDefault="00045FDD" w:rsidP="00045FDD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4F6228" w:themeColor="accent3" w:themeShade="8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color w:val="4F6228" w:themeColor="accent3" w:themeShade="80"/>
                      <w:sz w:val="18"/>
                      <w:szCs w:val="18"/>
                    </w:rPr>
                    <w:t>Mato Grosso/Brasil, Janeiro de 2010 – Projeções para a Produção Agropecuária em Mato Grosso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194" type="#_x0000_t202" style="position:absolute;left:0;text-align:left;margin-left:216.85pt;margin-top:-26.75pt;width:256.25pt;height:762.4pt;z-index:251705856" stroked="f" strokecolor="#943634 [2405]">
            <v:textbox style="mso-next-textbox:#_x0000_s1194">
              <w:txbxContent>
                <w:p w:rsidR="00803255" w:rsidRDefault="0025393B" w:rsidP="00803255">
                  <w:pPr>
                    <w:jc w:val="both"/>
                  </w:pPr>
                  <w:r>
                    <w:t>O IMEA estima que a produção aumente para 1,2 milhões de toneladas, crescimento de 56%.</w:t>
                  </w:r>
                  <w:r w:rsidRPr="008E4CF5">
                    <w:t xml:space="preserve"> </w:t>
                  </w:r>
                  <w:r>
                    <w:t xml:space="preserve">O limite </w:t>
                  </w:r>
                  <w:r w:rsidR="00803255">
                    <w:t>máximo e mínimo é de 1,1 a 1,3 milhões de toneladas, crescimento de 41% a 72%, dependendo do cenário.</w:t>
                  </w:r>
                </w:p>
                <w:p w:rsidR="00A75DB2" w:rsidRDefault="00A75DB2" w:rsidP="003E4A4D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A75DB2" w:rsidRDefault="00A75DB2" w:rsidP="003E4A4D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A75DB2" w:rsidRDefault="00A75DB2" w:rsidP="003E4A4D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A75DB2" w:rsidRDefault="00A75DB2" w:rsidP="003E4A4D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803255" w:rsidRDefault="00803255" w:rsidP="003E4A4D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803255" w:rsidRDefault="00803255" w:rsidP="003E4A4D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1C59E7" w:rsidRDefault="001C59E7" w:rsidP="003E4A4D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3E4A4D" w:rsidRPr="00B47D87" w:rsidRDefault="003E4A4D" w:rsidP="003E4A4D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  <w:r w:rsidRPr="00B47D87">
                    <w:rPr>
                      <w:b/>
                      <w:color w:val="0F243E" w:themeColor="text2" w:themeShade="80"/>
                    </w:rPr>
                    <w:t>CARNES</w:t>
                  </w:r>
                </w:p>
                <w:p w:rsidR="003E4A4D" w:rsidRDefault="003E4A4D" w:rsidP="003E4A4D">
                  <w:pPr>
                    <w:jc w:val="both"/>
                  </w:pPr>
                  <w:r>
                    <w:t>Assim como na agricultura, a produção de carnes possui alto potencial de crescimento. Isso acontece porque o Estado de Mato Grosso tem investido em tecnologia para aumentar o valor agregado da produção interna, visto que grande parte disso tem como mercado consumidor o externo e a infra-estrutura de escoamento até os portos é extremante cara.</w:t>
                  </w:r>
                </w:p>
                <w:p w:rsidR="003E4A4D" w:rsidRDefault="003E4A4D" w:rsidP="003E4A4D">
                  <w:pPr>
                    <w:jc w:val="both"/>
                  </w:pPr>
                  <w:r w:rsidRPr="00B47D87">
                    <w:rPr>
                      <w:b/>
                      <w:color w:val="0F243E" w:themeColor="text2" w:themeShade="80"/>
                    </w:rPr>
                    <w:t>Bovinocultura de Corte:</w:t>
                  </w:r>
                  <w:r>
                    <w:rPr>
                      <w:b/>
                    </w:rPr>
                    <w:t xml:space="preserve"> </w:t>
                  </w:r>
                  <w:r w:rsidRPr="001E443E">
                    <w:t>A estimativa para crescimento do rebanho bovino em Mato Grosso</w:t>
                  </w:r>
                  <w:r>
                    <w:t xml:space="preserve">, de 2% ao ano (crescimento linear) dever-se-á a fatores de manejo e aumento da capacidade de </w:t>
                  </w:r>
                  <w:r w:rsidR="00447033">
                    <w:t>suporte. O indicador mais importante para o crescimento dos abates no estado, entretanto, está relacionado ao</w:t>
                  </w:r>
                  <w:r w:rsidR="00B0750B">
                    <w:t xml:space="preserve"> crescimento da taxa de desfrute</w:t>
                  </w:r>
                  <w:r w:rsidR="00447033">
                    <w:t xml:space="preserve">, estimado em </w:t>
                  </w:r>
                  <w:r w:rsidR="0027680A">
                    <w:t>4%</w:t>
                  </w:r>
                  <w:r w:rsidR="006339D3">
                    <w:t xml:space="preserve"> </w:t>
                  </w:r>
                  <w:r w:rsidR="00B0750B">
                    <w:t>ao ano. O</w:t>
                  </w:r>
                  <w:r w:rsidR="0027680A">
                    <w:t xml:space="preserve"> atual cenário de crescimento </w:t>
                  </w:r>
                  <w:r>
                    <w:t xml:space="preserve">do número de confinamentos, juntamente com a melhoria das pastagens com vistas a disponibilizar maiores áreas para a agricultura e a melhoria do manejo reprodutivo e alimentar proporcionará </w:t>
                  </w:r>
                  <w:r w:rsidR="00B0750B">
                    <w:t xml:space="preserve">esse </w:t>
                  </w:r>
                  <w:r>
                    <w:t>crescimento.</w:t>
                  </w:r>
                </w:p>
                <w:p w:rsidR="003E4A4D" w:rsidRPr="001E443E" w:rsidRDefault="003E4A4D" w:rsidP="003E4A4D">
                  <w:pPr>
                    <w:jc w:val="both"/>
                  </w:pPr>
                  <w:r>
                    <w:t>Desta forma, o rebanho bovino aumentará em 22%, passando dos atuais 27,2 milhões para 33,9 milhões</w:t>
                  </w:r>
                  <w:r w:rsidRPr="000776DE">
                    <w:t xml:space="preserve"> </w:t>
                  </w:r>
                  <w:r>
                    <w:t xml:space="preserve">de cabeças de gado e o abate de 4,1 milhões para 8 milhões de cabeças, crescimento de 80%. </w:t>
                  </w:r>
                </w:p>
                <w:p w:rsidR="003E4A4D" w:rsidRDefault="003E4A4D" w:rsidP="003E4A4D">
                  <w:pPr>
                    <w:jc w:val="both"/>
                  </w:pPr>
                  <w:r w:rsidRPr="00B47D87">
                    <w:rPr>
                      <w:b/>
                      <w:color w:val="0F243E" w:themeColor="text2" w:themeShade="80"/>
                    </w:rPr>
                    <w:t>Avicultura:</w:t>
                  </w:r>
                  <w:r>
                    <w:rPr>
                      <w:b/>
                    </w:rPr>
                    <w:t xml:space="preserve"> </w:t>
                  </w:r>
                  <w:r w:rsidRPr="002C14F5">
                    <w:t xml:space="preserve">O crescimento </w:t>
                  </w:r>
                  <w:r>
                    <w:t>da produção de aves foi estimado considerando os</w:t>
                  </w:r>
                  <w:r w:rsidR="00181497">
                    <w:t xml:space="preserve"> investimentos</w:t>
                  </w:r>
                  <w:r>
                    <w:t xml:space="preserve"> </w:t>
                  </w:r>
                  <w:r w:rsidR="00181497">
                    <w:t xml:space="preserve">que estão </w:t>
                  </w:r>
                </w:p>
                <w:p w:rsidR="009517D8" w:rsidRPr="004405DD" w:rsidRDefault="009517D8" w:rsidP="004405DD"/>
              </w:txbxContent>
            </v:textbox>
          </v:shape>
        </w:pict>
      </w:r>
      <w:r>
        <w:rPr>
          <w:noProof/>
          <w:lang w:eastAsia="pt-BR"/>
        </w:rPr>
        <w:pict>
          <v:shape id="_x0000_s1193" type="#_x0000_t202" style="position:absolute;left:0;text-align:left;margin-left:-45.65pt;margin-top:-25.8pt;width:251.6pt;height:776.25pt;z-index:251704832" stroked="f" strokecolor="#943634 [2405]">
            <v:textbox style="mso-next-textbox:#_x0000_s1193">
              <w:txbxContent>
                <w:p w:rsidR="004A6E75" w:rsidRDefault="004A6E75" w:rsidP="004A6E75">
                  <w:pPr>
                    <w:jc w:val="both"/>
                  </w:pPr>
                  <w:r w:rsidRPr="00061197">
                    <w:rPr>
                      <w:i/>
                    </w:rPr>
                    <w:t>Produção:</w:t>
                  </w:r>
                  <w:r>
                    <w:t xml:space="preserve"> A produção acompanha as estimativas de</w:t>
                  </w:r>
                  <w:r w:rsidRPr="007F7BA4">
                    <w:t xml:space="preserve"> </w:t>
                  </w:r>
                  <w:r>
                    <w:t>área e produtividade de milho e aumentará de 7,6 milhões de toneladas para 14,9</w:t>
                  </w:r>
                  <w:r w:rsidR="00DC299D">
                    <w:t xml:space="preserve"> milhões</w:t>
                  </w:r>
                  <w:r w:rsidR="00257757">
                    <w:t>,</w:t>
                  </w:r>
                  <w:r>
                    <w:t xml:space="preserve"> crescimento de 95%, com limites que variam entre 13,5 a 16,4 milhões de toneladas.</w:t>
                  </w:r>
                </w:p>
                <w:p w:rsidR="0017483C" w:rsidRDefault="0017483C" w:rsidP="000A6EE0">
                  <w:pPr>
                    <w:jc w:val="both"/>
                    <w:rPr>
                      <w:b/>
                      <w:noProof/>
                      <w:color w:val="0F243E" w:themeColor="text2" w:themeShade="80"/>
                      <w:lang w:eastAsia="pt-BR"/>
                    </w:rPr>
                  </w:pPr>
                </w:p>
                <w:p w:rsidR="00B7491F" w:rsidRDefault="00B7491F" w:rsidP="000A6EE0">
                  <w:pPr>
                    <w:jc w:val="both"/>
                    <w:rPr>
                      <w:b/>
                      <w:noProof/>
                      <w:color w:val="0F243E" w:themeColor="text2" w:themeShade="80"/>
                      <w:lang w:eastAsia="pt-BR"/>
                    </w:rPr>
                  </w:pPr>
                </w:p>
                <w:p w:rsidR="00B7491F" w:rsidRDefault="00B7491F" w:rsidP="000A6EE0">
                  <w:pPr>
                    <w:jc w:val="both"/>
                    <w:rPr>
                      <w:b/>
                      <w:noProof/>
                      <w:color w:val="0F243E" w:themeColor="text2" w:themeShade="80"/>
                      <w:lang w:eastAsia="pt-BR"/>
                    </w:rPr>
                  </w:pPr>
                </w:p>
                <w:p w:rsidR="00B7491F" w:rsidRDefault="00B7491F" w:rsidP="000A6EE0">
                  <w:pPr>
                    <w:jc w:val="both"/>
                    <w:rPr>
                      <w:b/>
                      <w:noProof/>
                      <w:color w:val="0F243E" w:themeColor="text2" w:themeShade="80"/>
                      <w:lang w:eastAsia="pt-BR"/>
                    </w:rPr>
                  </w:pPr>
                </w:p>
                <w:p w:rsidR="00B7491F" w:rsidRDefault="00B7491F" w:rsidP="000A6EE0">
                  <w:pPr>
                    <w:jc w:val="both"/>
                    <w:rPr>
                      <w:b/>
                      <w:noProof/>
                      <w:color w:val="0F243E" w:themeColor="text2" w:themeShade="80"/>
                      <w:lang w:eastAsia="pt-BR"/>
                    </w:rPr>
                  </w:pPr>
                </w:p>
                <w:p w:rsidR="00B7491F" w:rsidRDefault="00B7491F" w:rsidP="000A6EE0">
                  <w:pPr>
                    <w:jc w:val="both"/>
                    <w:rPr>
                      <w:b/>
                      <w:noProof/>
                      <w:color w:val="0F243E" w:themeColor="text2" w:themeShade="80"/>
                      <w:lang w:eastAsia="pt-BR"/>
                    </w:rPr>
                  </w:pPr>
                </w:p>
                <w:p w:rsidR="00B7491F" w:rsidRDefault="00B7491F" w:rsidP="000A6EE0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</w:p>
                <w:p w:rsidR="000A6EE0" w:rsidRPr="00B47D87" w:rsidRDefault="000A6EE0" w:rsidP="000A6EE0">
                  <w:pPr>
                    <w:jc w:val="both"/>
                    <w:rPr>
                      <w:b/>
                      <w:color w:val="0F243E" w:themeColor="text2" w:themeShade="80"/>
                    </w:rPr>
                  </w:pPr>
                  <w:r w:rsidRPr="00B47D87">
                    <w:rPr>
                      <w:b/>
                      <w:color w:val="0F243E" w:themeColor="text2" w:themeShade="80"/>
                    </w:rPr>
                    <w:t>ARROZ</w:t>
                  </w:r>
                </w:p>
                <w:p w:rsidR="000A6EE0" w:rsidRDefault="000A6EE0" w:rsidP="000A6EE0">
                  <w:pPr>
                    <w:jc w:val="both"/>
                  </w:pPr>
                  <w:r w:rsidRPr="007F5FC5">
                    <w:rPr>
                      <w:i/>
                    </w:rPr>
                    <w:t>Produtividade:</w:t>
                  </w:r>
                  <w:r w:rsidRPr="00CF2356">
                    <w:t xml:space="preserve"> A produtividade do arroz poderá crescer até 2% num cenário conservador</w:t>
                  </w:r>
                  <w:r>
                    <w:t>, de 50,4 para 60,4 sc/ha</w:t>
                  </w:r>
                  <w:r w:rsidR="00CA755F">
                    <w:t xml:space="preserve">. Assim como na soja e no </w:t>
                  </w:r>
                  <w:r w:rsidRPr="00CF2356">
                    <w:t>milho, os investimentos em tecnologia permitem esse incremento ao longo dos próximos anos.</w:t>
                  </w:r>
                </w:p>
                <w:p w:rsidR="00391FBD" w:rsidRDefault="00391FBD" w:rsidP="000A6EE0">
                  <w:pPr>
                    <w:jc w:val="both"/>
                  </w:pPr>
                </w:p>
                <w:p w:rsidR="00A75DB2" w:rsidRDefault="00A75DB2" w:rsidP="000A6EE0">
                  <w:pPr>
                    <w:jc w:val="both"/>
                  </w:pPr>
                </w:p>
                <w:p w:rsidR="00A75DB2" w:rsidRDefault="00A75DB2" w:rsidP="000A6EE0">
                  <w:pPr>
                    <w:jc w:val="both"/>
                  </w:pPr>
                </w:p>
                <w:p w:rsidR="00A75DB2" w:rsidRDefault="00A75DB2" w:rsidP="000A6EE0">
                  <w:pPr>
                    <w:jc w:val="both"/>
                  </w:pPr>
                </w:p>
                <w:p w:rsidR="00A75DB2" w:rsidRDefault="00A75DB2" w:rsidP="000A6EE0">
                  <w:pPr>
                    <w:jc w:val="both"/>
                  </w:pPr>
                </w:p>
                <w:p w:rsidR="00A75DB2" w:rsidRPr="00CF2356" w:rsidRDefault="00A75DB2" w:rsidP="000A6EE0">
                  <w:pPr>
                    <w:jc w:val="both"/>
                  </w:pPr>
                </w:p>
                <w:p w:rsidR="00803255" w:rsidRDefault="00803255" w:rsidP="000A6EE0">
                  <w:pPr>
                    <w:jc w:val="both"/>
                    <w:rPr>
                      <w:i/>
                    </w:rPr>
                  </w:pPr>
                </w:p>
                <w:p w:rsidR="000A6EE0" w:rsidRDefault="000A6EE0" w:rsidP="000A6EE0">
                  <w:pPr>
                    <w:jc w:val="both"/>
                  </w:pPr>
                  <w:r w:rsidRPr="007F5FC5">
                    <w:rPr>
                      <w:i/>
                    </w:rPr>
                    <w:t>Área plantada:</w:t>
                  </w:r>
                  <w:r w:rsidRPr="00947A35">
                    <w:t xml:space="preserve"> </w:t>
                  </w:r>
                  <w:r>
                    <w:t>Similar</w:t>
                  </w:r>
                  <w:r w:rsidRPr="005F701E">
                    <w:t xml:space="preserve"> a soja</w:t>
                  </w:r>
                  <w:r>
                    <w:t>, a área plantada de arroz deverá crescer 2,5% ao ano, saindo do atual 260 mil para 333 mil hectares de cultivo, com limites de 1,5% a 3,5% ao ano. O avanço do cultivo de arroz a</w:t>
                  </w:r>
                  <w:r w:rsidR="008909E9">
                    <w:t xml:space="preserve">contecerá em áreas de pastagens no sistema de </w:t>
                  </w:r>
                  <w:r w:rsidR="00CA755F">
                    <w:t>rotação de cultura</w:t>
                  </w:r>
                  <w:r>
                    <w:t>. Essa é uma tendência que já acontece em Mato Grosso e, com investimentos em aumento de capacidade de suporte do rebanho, mais áreas de pastagem estarão disponíveis a agricultura nos próximos anos.</w:t>
                  </w:r>
                </w:p>
                <w:p w:rsidR="000A6EE0" w:rsidRDefault="000A6EE0" w:rsidP="000A6EE0">
                  <w:pPr>
                    <w:jc w:val="both"/>
                  </w:pPr>
                  <w:r w:rsidRPr="004F22DF">
                    <w:rPr>
                      <w:i/>
                    </w:rPr>
                    <w:t>Produção:</w:t>
                  </w:r>
                  <w:r>
                    <w:t xml:space="preserve"> A produção acompanha as estimativas </w:t>
                  </w:r>
                  <w:r w:rsidR="00CF48EB">
                    <w:t>de área e produtividade de arroz</w:t>
                  </w:r>
                  <w:r>
                    <w:t xml:space="preserve">. </w:t>
                  </w:r>
                </w:p>
                <w:p w:rsidR="008222BE" w:rsidRDefault="008222BE" w:rsidP="009517D8">
                  <w:pPr>
                    <w:jc w:val="both"/>
                  </w:pPr>
                </w:p>
                <w:p w:rsidR="008222BE" w:rsidRDefault="008222BE" w:rsidP="009517D8">
                  <w:pPr>
                    <w:jc w:val="both"/>
                  </w:pPr>
                </w:p>
                <w:p w:rsidR="008222BE" w:rsidRDefault="008222BE" w:rsidP="009517D8">
                  <w:pPr>
                    <w:jc w:val="both"/>
                  </w:pPr>
                </w:p>
                <w:p w:rsidR="008222BE" w:rsidRDefault="008222BE" w:rsidP="009517D8">
                  <w:pPr>
                    <w:jc w:val="both"/>
                  </w:pPr>
                </w:p>
                <w:p w:rsidR="008222BE" w:rsidRDefault="008222BE" w:rsidP="009517D8">
                  <w:pPr>
                    <w:jc w:val="both"/>
                  </w:pPr>
                </w:p>
                <w:p w:rsidR="008222BE" w:rsidRDefault="008222BE" w:rsidP="009517D8">
                  <w:pPr>
                    <w:jc w:val="both"/>
                  </w:pPr>
                </w:p>
                <w:p w:rsidR="00333D76" w:rsidRDefault="00333D76" w:rsidP="009517D8">
                  <w:pPr>
                    <w:jc w:val="both"/>
                    <w:rPr>
                      <w:b/>
                    </w:rPr>
                  </w:pPr>
                </w:p>
                <w:p w:rsidR="005B1220" w:rsidRDefault="005B1220" w:rsidP="00084E25">
                  <w:pPr>
                    <w:jc w:val="both"/>
                  </w:pPr>
                </w:p>
                <w:p w:rsidR="005B1220" w:rsidRDefault="005B1220" w:rsidP="00084E25">
                  <w:pPr>
                    <w:jc w:val="both"/>
                  </w:pPr>
                </w:p>
                <w:p w:rsidR="00CF0453" w:rsidRPr="00E72CCE" w:rsidRDefault="00CF0453" w:rsidP="00084E25"/>
              </w:txbxContent>
            </v:textbox>
          </v:shape>
        </w:pict>
      </w:r>
      <w:r w:rsidR="00D36253">
        <w:tab/>
      </w:r>
    </w:p>
    <w:p w:rsidR="00E35EDF" w:rsidRDefault="00E35EDF" w:rsidP="00B152E1">
      <w:pPr>
        <w:pStyle w:val="PargrafodaLista"/>
        <w:jc w:val="both"/>
      </w:pPr>
    </w:p>
    <w:p w:rsidR="00E35EDF" w:rsidRDefault="00E35EDF" w:rsidP="00B152E1">
      <w:pPr>
        <w:pStyle w:val="PargrafodaLista"/>
        <w:jc w:val="both"/>
      </w:pPr>
    </w:p>
    <w:p w:rsidR="00E35EDF" w:rsidRDefault="00BD6135" w:rsidP="00B152E1">
      <w:pPr>
        <w:pStyle w:val="PargrafodaLista"/>
        <w:jc w:val="both"/>
      </w:pPr>
      <w:r>
        <w:rPr>
          <w:noProof/>
          <w:lang w:eastAsia="pt-BR"/>
        </w:rPr>
        <w:pict>
          <v:shape id="_x0000_s1242" type="#_x0000_t202" style="position:absolute;left:0;text-align:left;margin-left:-52.3pt;margin-top:13.1pt;width:262.5pt;height:178.25pt;z-index:251739648" stroked="f">
            <v:textbox>
              <w:txbxContent>
                <w:p w:rsidR="00B7491F" w:rsidRDefault="00B7491F">
                  <w:r w:rsidRPr="00B7491F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206338" cy="2185059"/>
                        <wp:effectExtent l="0" t="0" r="0" b="0"/>
                        <wp:docPr id="9" name="Gráfico 9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34" type="#_x0000_t202" style="position:absolute;left:0;text-align:left;margin-left:218.75pt;margin-top:13.1pt;width:262.85pt;height:166.7pt;z-index:251733504" stroked="f">
            <v:textbox>
              <w:txbxContent>
                <w:p w:rsidR="00A75DB2" w:rsidRDefault="00AB0058">
                  <w:r w:rsidRPr="00AB0058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158836" cy="2185060"/>
                        <wp:effectExtent l="0" t="0" r="0" b="0"/>
                        <wp:docPr id="12" name="Gráfico 1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07753" w:rsidRDefault="00BB4395" w:rsidP="00BB4395">
      <w:pPr>
        <w:pStyle w:val="PargrafodaLista"/>
        <w:tabs>
          <w:tab w:val="left" w:pos="4133"/>
        </w:tabs>
        <w:jc w:val="both"/>
      </w:pPr>
      <w:r>
        <w:tab/>
      </w:r>
    </w:p>
    <w:p w:rsidR="00D07753" w:rsidRDefault="00D07753" w:rsidP="00B152E1">
      <w:pPr>
        <w:pStyle w:val="PargrafodaLista"/>
        <w:jc w:val="both"/>
      </w:pPr>
    </w:p>
    <w:p w:rsidR="00D07753" w:rsidRDefault="00D07753" w:rsidP="00B152E1">
      <w:pPr>
        <w:pStyle w:val="PargrafodaLista"/>
        <w:jc w:val="both"/>
      </w:pPr>
    </w:p>
    <w:p w:rsidR="00D07753" w:rsidRDefault="00D07753" w:rsidP="00B152E1">
      <w:pPr>
        <w:pStyle w:val="PargrafodaLista"/>
        <w:jc w:val="both"/>
      </w:pPr>
    </w:p>
    <w:p w:rsidR="00D07753" w:rsidRDefault="00D07753" w:rsidP="00B152E1">
      <w:pPr>
        <w:pStyle w:val="PargrafodaLista"/>
        <w:jc w:val="both"/>
      </w:pPr>
    </w:p>
    <w:p w:rsidR="00D07753" w:rsidRDefault="00D07753" w:rsidP="00B152E1">
      <w:pPr>
        <w:pStyle w:val="PargrafodaLista"/>
        <w:jc w:val="both"/>
      </w:pPr>
    </w:p>
    <w:p w:rsidR="00D07753" w:rsidRDefault="00D07753" w:rsidP="00B152E1">
      <w:pPr>
        <w:pStyle w:val="PargrafodaLista"/>
        <w:jc w:val="both"/>
      </w:pPr>
    </w:p>
    <w:p w:rsidR="00D07753" w:rsidRDefault="00D07753" w:rsidP="00B152E1">
      <w:pPr>
        <w:pStyle w:val="PargrafodaLista"/>
        <w:jc w:val="both"/>
      </w:pPr>
    </w:p>
    <w:p w:rsidR="00D07753" w:rsidRDefault="00D07753" w:rsidP="00B152E1">
      <w:pPr>
        <w:pStyle w:val="PargrafodaLista"/>
        <w:jc w:val="both"/>
      </w:pPr>
    </w:p>
    <w:p w:rsidR="00D36253" w:rsidRDefault="00D36253" w:rsidP="00151C0C">
      <w:pPr>
        <w:pStyle w:val="PargrafodaLista"/>
        <w:jc w:val="both"/>
      </w:pPr>
    </w:p>
    <w:p w:rsidR="00D36253" w:rsidRDefault="00D36253" w:rsidP="00151C0C">
      <w:pPr>
        <w:pStyle w:val="PargrafodaLista"/>
        <w:jc w:val="both"/>
      </w:pPr>
    </w:p>
    <w:p w:rsidR="00D36253" w:rsidRDefault="00D36253" w:rsidP="00151C0C">
      <w:pPr>
        <w:pStyle w:val="PargrafodaLista"/>
        <w:jc w:val="both"/>
      </w:pPr>
    </w:p>
    <w:p w:rsidR="00D36253" w:rsidRDefault="00D36253" w:rsidP="00151C0C">
      <w:pPr>
        <w:pStyle w:val="PargrafodaLista"/>
        <w:jc w:val="both"/>
      </w:pPr>
    </w:p>
    <w:p w:rsidR="00D36253" w:rsidRPr="00D36253" w:rsidRDefault="00D36253" w:rsidP="00D36253"/>
    <w:p w:rsidR="00D36253" w:rsidRPr="00D36253" w:rsidRDefault="00D36253" w:rsidP="00D36253"/>
    <w:p w:rsidR="00D36253" w:rsidRPr="00D36253" w:rsidRDefault="00D36253" w:rsidP="00D36253"/>
    <w:p w:rsidR="00D36253" w:rsidRPr="00D36253" w:rsidRDefault="00BD6135" w:rsidP="00D36253">
      <w:r>
        <w:rPr>
          <w:noProof/>
          <w:lang w:eastAsia="pt-BR"/>
        </w:rPr>
        <w:pict>
          <v:shape id="_x0000_s1235" type="#_x0000_t202" style="position:absolute;margin-left:-45.65pt;margin-top:14.85pt;width:251.6pt;height:152.2pt;z-index:251734528" stroked="f">
            <v:textbox>
              <w:txbxContent>
                <w:p w:rsidR="00803255" w:rsidRDefault="008F7364">
                  <w:r w:rsidRPr="008F7364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004457" cy="1733797"/>
                        <wp:effectExtent l="0" t="0" r="0" b="0"/>
                        <wp:docPr id="118" name="Gráfico 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36253" w:rsidRPr="00D36253" w:rsidRDefault="00D36253" w:rsidP="00D36253"/>
    <w:p w:rsidR="00D36253" w:rsidRPr="00D36253" w:rsidRDefault="00D36253" w:rsidP="00D36253"/>
    <w:p w:rsidR="00D36253" w:rsidRDefault="00D36253" w:rsidP="00D36253"/>
    <w:p w:rsidR="00D07753" w:rsidRDefault="00D07753" w:rsidP="00D36253">
      <w:pPr>
        <w:jc w:val="center"/>
      </w:pPr>
    </w:p>
    <w:p w:rsidR="00D36253" w:rsidRDefault="00D36253" w:rsidP="00D36253">
      <w:pPr>
        <w:jc w:val="center"/>
      </w:pPr>
    </w:p>
    <w:p w:rsidR="00D36253" w:rsidRDefault="00D36253" w:rsidP="00D36253">
      <w:pPr>
        <w:jc w:val="center"/>
      </w:pPr>
    </w:p>
    <w:p w:rsidR="00D36253" w:rsidRPr="00D36253" w:rsidRDefault="00BD6135" w:rsidP="00D36253">
      <w:pPr>
        <w:jc w:val="center"/>
      </w:pPr>
      <w:r>
        <w:rPr>
          <w:noProof/>
          <w:lang w:eastAsia="pt-BR"/>
        </w:rPr>
        <w:lastRenderedPageBreak/>
        <w:pict>
          <v:shape id="_x0000_s1237" type="#_x0000_t202" style="position:absolute;left:0;text-align:left;margin-left:171.45pt;margin-top:469.7pt;width:37.95pt;height:30.85pt;z-index:251736576" filled="f" stroked="f">
            <v:textbox>
              <w:txbxContent>
                <w:p w:rsidR="006D143F" w:rsidRPr="006D143F" w:rsidRDefault="006D143F">
                  <w:pPr>
                    <w:rPr>
                      <w:sz w:val="16"/>
                      <w:szCs w:val="16"/>
                    </w:rPr>
                  </w:pPr>
                  <w:r w:rsidRPr="006D143F">
                    <w:rPr>
                      <w:sz w:val="16"/>
                      <w:szCs w:val="16"/>
                    </w:rPr>
                    <w:t>Aves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36" type="#_x0000_t202" style="position:absolute;left:0;text-align:left;margin-left:-73.2pt;margin-top:464pt;width:83.2pt;height:30.85pt;z-index:251735552" filled="f" stroked="f">
            <v:textbox>
              <w:txbxContent>
                <w:p w:rsidR="008A1A79" w:rsidRDefault="006D143F" w:rsidP="008A1A7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D143F">
                    <w:rPr>
                      <w:sz w:val="16"/>
                      <w:szCs w:val="16"/>
                    </w:rPr>
                    <w:t xml:space="preserve">Bovinos </w:t>
                  </w:r>
                </w:p>
                <w:p w:rsidR="006D143F" w:rsidRPr="006D143F" w:rsidRDefault="006D143F" w:rsidP="008A1A7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D143F">
                    <w:rPr>
                      <w:sz w:val="16"/>
                      <w:szCs w:val="16"/>
                    </w:rPr>
                    <w:t>e suínos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29" type="#_x0000_t202" style="position:absolute;left:0;text-align:left;margin-left:-60.9pt;margin-top:459.3pt;width:280.25pt;height:216.9pt;z-index:251729408" stroked="f">
            <v:textbox>
              <w:txbxContent>
                <w:p w:rsidR="004405DD" w:rsidRDefault="004405DD">
                  <w:r w:rsidRPr="004405DD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365417" cy="2570595"/>
                        <wp:effectExtent l="0" t="0" r="0" b="0"/>
                        <wp:docPr id="38" name="Gráfico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5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39" type="#_x0000_t202" style="position:absolute;left:0;text-align:left;margin-left:228.85pt;margin-top:131.3pt;width:269.6pt;height:198.25pt;z-index:251737600" stroked="f">
            <v:textbox>
              <w:txbxContent>
                <w:p w:rsidR="00055167" w:rsidRDefault="00055167">
                  <w:r w:rsidRPr="00055167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170712" cy="2244437"/>
                        <wp:effectExtent l="0" t="0" r="0" b="0"/>
                        <wp:docPr id="1" name="Gráfico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28" type="#_x0000_t202" style="position:absolute;left:0;text-align:left;margin-left:322.85pt;margin-top:562pt;width:70.15pt;height:55.15pt;z-index:251728384" filled="f" stroked="f">
            <v:textbox>
              <w:txbxContent>
                <w:p w:rsidR="00D36253" w:rsidRDefault="00D36253">
                  <w:r w:rsidRPr="00D36253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498238" cy="475013"/>
                        <wp:effectExtent l="19050" t="0" r="0" b="0"/>
                        <wp:docPr id="20" name="Imagem 2" descr="C:\Users\enipec.SENARMT\Documents\Ime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 descr="C:\Users\enipec.SENARMT\Documents\Ime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 l="16364" t="9894" r="12724" b="1095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391" cy="4789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27" type="#_x0000_t202" style="position:absolute;left:0;text-align:left;margin-left:240.45pt;margin-top:543.25pt;width:251.3pt;height:223.5pt;z-index:251727360" stroked="f">
            <v:textbox>
              <w:txbxContent>
                <w:p w:rsidR="00D36253" w:rsidRDefault="00D36253">
                  <w:r w:rsidRPr="00D36253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788417" cy="2003470"/>
                        <wp:effectExtent l="19050" t="0" r="0" b="0"/>
                        <wp:docPr id="19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7810" cy="2010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26" type="#_x0000_t202" style="position:absolute;left:0;text-align:left;margin-left:228.85pt;margin-top:-22.35pt;width:256.25pt;height:569.45pt;z-index:251726336" stroked="f" strokecolor="#943634 [2405]">
            <v:textbox style="mso-next-textbox:#_x0000_s1226">
              <w:txbxContent>
                <w:p w:rsidR="00785B6D" w:rsidRDefault="00230BA1" w:rsidP="00D36253">
                  <w:pPr>
                    <w:jc w:val="both"/>
                  </w:pPr>
                  <w:r>
                    <w:t xml:space="preserve">Diante do crescimento do abate de bovinos, aves e suínos, a produção de carnes em Mato Grosso </w:t>
                  </w:r>
                  <w:r w:rsidR="008F1A6C">
                    <w:t>passará dos atuais 1.555 mil ton</w:t>
                  </w:r>
                  <w:r w:rsidR="005F7207">
                    <w:t>eladas</w:t>
                  </w:r>
                  <w:r w:rsidR="008F1A6C">
                    <w:t xml:space="preserve"> equivalente carcaça para 3.098, crescimento de 99% ao longo dos próximos 10 anos. A participação da carne bovina reduzirá de 64% </w:t>
                  </w:r>
                  <w:r w:rsidR="005F7207">
                    <w:t>para 58% e</w:t>
                  </w:r>
                  <w:r w:rsidR="008F1A6C">
                    <w:t xml:space="preserve"> a produção de carne suína e de aves aumentará em 3% cada uma. Hoje </w:t>
                  </w:r>
                  <w:r w:rsidR="00C44ECB">
                    <w:t>aves representam 26% e suínos</w:t>
                  </w:r>
                  <w:r w:rsidR="008F1A6C">
                    <w:t xml:space="preserve"> 10%</w:t>
                  </w:r>
                  <w:r w:rsidR="005F7207">
                    <w:t xml:space="preserve"> da produção estadual de carnes</w:t>
                  </w:r>
                  <w:r w:rsidR="008F1A6C">
                    <w:t>.</w:t>
                  </w:r>
                </w:p>
                <w:p w:rsidR="006E69AF" w:rsidRDefault="006E69AF" w:rsidP="00D36253">
                  <w:pPr>
                    <w:jc w:val="both"/>
                  </w:pPr>
                </w:p>
                <w:p w:rsidR="00785B6D" w:rsidRDefault="00785B6D" w:rsidP="00D36253">
                  <w:pPr>
                    <w:jc w:val="both"/>
                  </w:pPr>
                </w:p>
                <w:p w:rsidR="00785B6D" w:rsidRDefault="00785B6D" w:rsidP="00D36253">
                  <w:pPr>
                    <w:jc w:val="both"/>
                  </w:pPr>
                </w:p>
                <w:p w:rsidR="00785B6D" w:rsidRDefault="00785B6D" w:rsidP="00D36253">
                  <w:pPr>
                    <w:jc w:val="both"/>
                  </w:pPr>
                </w:p>
                <w:p w:rsidR="00785B6D" w:rsidRDefault="00785B6D" w:rsidP="00D36253">
                  <w:pPr>
                    <w:jc w:val="both"/>
                  </w:pPr>
                </w:p>
                <w:p w:rsidR="00785B6D" w:rsidRDefault="00785B6D" w:rsidP="00D36253">
                  <w:pPr>
                    <w:jc w:val="both"/>
                  </w:pPr>
                </w:p>
                <w:p w:rsidR="00785B6D" w:rsidRDefault="00785B6D" w:rsidP="00D36253">
                  <w:pPr>
                    <w:jc w:val="both"/>
                  </w:pPr>
                </w:p>
                <w:p w:rsidR="00785B6D" w:rsidRDefault="00785B6D" w:rsidP="00D36253">
                  <w:pPr>
                    <w:jc w:val="both"/>
                  </w:pPr>
                </w:p>
                <w:p w:rsidR="00462D13" w:rsidRDefault="008A3DF8" w:rsidP="00D36253">
                  <w:pPr>
                    <w:jc w:val="both"/>
                  </w:pPr>
                  <w:r>
                    <w:t xml:space="preserve">As projeções acima confirmam que Mato Grosso possui grande potencial de crescimento, mesmo diante das atuais restrições ao uso da terra. Pode-se perceber ainda que a infra-estrutura logística é fator determinante </w:t>
                  </w:r>
                  <w:r w:rsidR="00F8559B">
                    <w:t>desse increment</w:t>
                  </w:r>
                  <w:r w:rsidR="0012428F">
                    <w:t>o</w:t>
                  </w:r>
                  <w:r w:rsidR="00F8559B">
                    <w:t>. O</w:t>
                  </w:r>
                  <w:r w:rsidR="0012428F">
                    <w:t xml:space="preserve"> IMEA estima o crescimento baseado nos projetos atualmente em andamento, como os corredores da BR 158 e BR 163.</w:t>
                  </w:r>
                  <w:r w:rsidR="004D03D5">
                    <w:t xml:space="preserve"> A não finalização desses projetos reduz as estimativas, da mesma forma que a introdução de novos (ainda como proposta), </w:t>
                  </w:r>
                  <w:r w:rsidR="007B6D6D">
                    <w:t>interfere de forma positiva no desenvolvimento, aumentando a participação de Ma</w:t>
                  </w:r>
                  <w:r w:rsidR="006A12C7">
                    <w:t>to Grosso no contexto mundial da</w:t>
                  </w:r>
                  <w:r w:rsidR="007B6D6D">
                    <w:t xml:space="preserve"> produção de alimentos.</w:t>
                  </w:r>
                </w:p>
                <w:p w:rsidR="00785B6D" w:rsidRDefault="00785B6D" w:rsidP="00D36253">
                  <w:pPr>
                    <w:jc w:val="both"/>
                  </w:pPr>
                </w:p>
                <w:p w:rsidR="008A3DF8" w:rsidRDefault="008A3DF8" w:rsidP="00D36253">
                  <w:pPr>
                    <w:jc w:val="both"/>
                  </w:pPr>
                  <w:r>
                    <w:t xml:space="preserve">  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25" type="#_x0000_t202" style="position:absolute;left:0;text-align:left;margin-left:-45.05pt;margin-top:-21.4pt;width:251.6pt;height:776.25pt;z-index:251725312" stroked="f" strokecolor="#943634 [2405]">
            <v:textbox style="mso-next-textbox:#_x0000_s1225">
              <w:txbxContent>
                <w:p w:rsidR="0025393B" w:rsidRDefault="0025393B" w:rsidP="0025393B">
                  <w:pPr>
                    <w:jc w:val="both"/>
                  </w:pPr>
                  <w:r>
                    <w:t xml:space="preserve">sendo realizados atualmente pelas indústrias frigoríficas e também pela perspectiva do setor de incremento nos próximos anos. </w:t>
                  </w:r>
                </w:p>
                <w:p w:rsidR="004405DD" w:rsidRDefault="00F24A7D" w:rsidP="004405DD">
                  <w:pPr>
                    <w:jc w:val="both"/>
                  </w:pPr>
                  <w:r>
                    <w:t>Diante desses números, o</w:t>
                  </w:r>
                  <w:r w:rsidR="004405DD">
                    <w:t xml:space="preserve"> IMEA estima crescimento de 10% ao ano </w:t>
                  </w:r>
                  <w:r>
                    <w:t>n</w:t>
                  </w:r>
                  <w:r w:rsidR="004405DD">
                    <w:t xml:space="preserve">os primeiros 5 anos e 6% ao ano a partir do 6º ano. </w:t>
                  </w:r>
                  <w:r w:rsidR="00477E79">
                    <w:t>Sendo assim</w:t>
                  </w:r>
                  <w:r w:rsidR="004405DD">
                    <w:t xml:space="preserve">, o abate de aves passará dos atuais 138 milhões de cabeças para 327 em 2020, crescimento de 116%. </w:t>
                  </w:r>
                </w:p>
                <w:p w:rsidR="00491A9F" w:rsidRDefault="00AB5170" w:rsidP="004405DD">
                  <w:pPr>
                    <w:jc w:val="both"/>
                  </w:pPr>
                  <w:r>
                    <w:t xml:space="preserve">As atividades de avicultura e suinocultura </w:t>
                  </w:r>
                  <w:r w:rsidR="009A3E41">
                    <w:t xml:space="preserve">são atividades de 2° ciclo </w:t>
                  </w:r>
                  <w:r w:rsidR="00545C42">
                    <w:t xml:space="preserve">em Mato Grosso </w:t>
                  </w:r>
                  <w:r w:rsidR="009A3E41">
                    <w:t xml:space="preserve">e tenderão a ganhar mais representatividade nos próximos anos. </w:t>
                  </w:r>
                </w:p>
                <w:p w:rsidR="003E0B9B" w:rsidRDefault="004405DD" w:rsidP="004405DD">
                  <w:pPr>
                    <w:jc w:val="both"/>
                  </w:pPr>
                  <w:r w:rsidRPr="00B47D87">
                    <w:rPr>
                      <w:b/>
                      <w:color w:val="0F243E" w:themeColor="text2" w:themeShade="80"/>
                    </w:rPr>
                    <w:t>Suinocultura:</w:t>
                  </w:r>
                  <w:r>
                    <w:rPr>
                      <w:b/>
                    </w:rPr>
                    <w:t xml:space="preserve"> </w:t>
                  </w:r>
                  <w:r w:rsidRPr="00BD6E48">
                    <w:t xml:space="preserve">Assim como avicultura, a suinocultura também </w:t>
                  </w:r>
                  <w:r>
                    <w:t>apresenta grande potencial de crescimento. Por se tratarem de atividades com crescimento recente em Mato Grosso e com grande oferta de produtos para alimentação desses animais, essas atividades possuem crescimento superior as demais. Para a suinocultura, o IMEA estima crescimento de 20% ao ano nos 5 primeiros anos e 10% ao ano para os demais.</w:t>
                  </w:r>
                  <w:r w:rsidR="003E0B9B">
                    <w:t xml:space="preserve"> Essa taxa de incremento também considera os atuais investimentos na expansão da capacidade de abate, assim como as projeções dessas indústrias para os próximos anos.</w:t>
                  </w:r>
                </w:p>
                <w:p w:rsidR="004405DD" w:rsidRDefault="004405DD" w:rsidP="004405DD">
                  <w:pPr>
                    <w:jc w:val="both"/>
                  </w:pPr>
                  <w:r>
                    <w:t xml:space="preserve">Com essas taxas, Mato Grosso abaterá 4,3 milhões de cabeças ao ano em 2020. A taxa de crescimento final é de 180%. O abate atual é de 1,3 milhões de cabeças.  </w:t>
                  </w:r>
                </w:p>
                <w:p w:rsidR="00C4406B" w:rsidRDefault="00C4406B" w:rsidP="00D36253"/>
                <w:p w:rsidR="00C4406B" w:rsidRPr="00E72CCE" w:rsidRDefault="00C4406B" w:rsidP="00D36253"/>
              </w:txbxContent>
            </v:textbox>
          </v:shape>
        </w:pict>
      </w:r>
    </w:p>
    <w:sectPr w:rsidR="00D36253" w:rsidRPr="00D36253" w:rsidSect="008D6814">
      <w:footerReference w:type="default" r:id="rId1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579" w:rsidRDefault="00DE0579" w:rsidP="00C123E3">
      <w:pPr>
        <w:spacing w:after="0" w:line="240" w:lineRule="auto"/>
      </w:pPr>
      <w:r>
        <w:separator/>
      </w:r>
    </w:p>
  </w:endnote>
  <w:endnote w:type="continuationSeparator" w:id="0">
    <w:p w:rsidR="00DE0579" w:rsidRDefault="00DE0579" w:rsidP="00C1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6DD" w:rsidRDefault="008246DD">
    <w:pPr>
      <w:pStyle w:val="Rodap"/>
    </w:pPr>
  </w:p>
  <w:p w:rsidR="008246DD" w:rsidRDefault="008246DD">
    <w:pPr>
      <w:pStyle w:val="Rodap"/>
    </w:pPr>
  </w:p>
  <w:p w:rsidR="008246DD" w:rsidRDefault="008246DD">
    <w:pPr>
      <w:pStyle w:val="Rodap"/>
    </w:pPr>
  </w:p>
  <w:p w:rsidR="008246DD" w:rsidRDefault="008246DD">
    <w:pPr>
      <w:pStyle w:val="Rodap"/>
    </w:pPr>
  </w:p>
  <w:p w:rsidR="008246DD" w:rsidRDefault="008246DD">
    <w:pPr>
      <w:pStyle w:val="Rodap"/>
    </w:pPr>
  </w:p>
  <w:p w:rsidR="008246DD" w:rsidRDefault="008246DD">
    <w:pPr>
      <w:pStyle w:val="Rodap"/>
    </w:pPr>
  </w:p>
  <w:p w:rsidR="008246DD" w:rsidRDefault="008246DD">
    <w:pPr>
      <w:pStyle w:val="Rodap"/>
    </w:pPr>
  </w:p>
  <w:p w:rsidR="008246DD" w:rsidRDefault="008246DD">
    <w:pPr>
      <w:pStyle w:val="Rodap"/>
    </w:pPr>
  </w:p>
  <w:p w:rsidR="008246DD" w:rsidRDefault="008246DD">
    <w:pPr>
      <w:pStyle w:val="Rodap"/>
    </w:pPr>
  </w:p>
  <w:p w:rsidR="008246DD" w:rsidRDefault="008246DD">
    <w:pPr>
      <w:pStyle w:val="Rodap"/>
    </w:pPr>
  </w:p>
  <w:p w:rsidR="008246DD" w:rsidRDefault="008246DD">
    <w:pPr>
      <w:pStyle w:val="Rodap"/>
    </w:pPr>
  </w:p>
  <w:p w:rsidR="008246DD" w:rsidRDefault="008246DD">
    <w:pPr>
      <w:pStyle w:val="Rodap"/>
    </w:pPr>
  </w:p>
  <w:p w:rsidR="008246DD" w:rsidRDefault="008246DD">
    <w:pPr>
      <w:pStyle w:val="Rodap"/>
    </w:pPr>
  </w:p>
  <w:p w:rsidR="008246DD" w:rsidRDefault="008246DD">
    <w:pPr>
      <w:pStyle w:val="Rodap"/>
    </w:pPr>
  </w:p>
  <w:p w:rsidR="008246DD" w:rsidRDefault="008246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579" w:rsidRDefault="00DE0579" w:rsidP="00C123E3">
      <w:pPr>
        <w:spacing w:after="0" w:line="240" w:lineRule="auto"/>
      </w:pPr>
      <w:r>
        <w:separator/>
      </w:r>
    </w:p>
  </w:footnote>
  <w:footnote w:type="continuationSeparator" w:id="0">
    <w:p w:rsidR="00DE0579" w:rsidRDefault="00DE0579" w:rsidP="00C12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1D7"/>
    <w:multiLevelType w:val="hybridMultilevel"/>
    <w:tmpl w:val="17E6505E"/>
    <w:lvl w:ilvl="0" w:tplc="CBDA03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101DEF"/>
    <w:multiLevelType w:val="hybridMultilevel"/>
    <w:tmpl w:val="F984FB36"/>
    <w:lvl w:ilvl="0" w:tplc="03F8A1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37884"/>
    <w:multiLevelType w:val="hybridMultilevel"/>
    <w:tmpl w:val="C88AE080"/>
    <w:lvl w:ilvl="0" w:tplc="282A16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924554"/>
    <w:multiLevelType w:val="hybridMultilevel"/>
    <w:tmpl w:val="54025D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961DE"/>
    <w:multiLevelType w:val="hybridMultilevel"/>
    <w:tmpl w:val="86FAC7AE"/>
    <w:lvl w:ilvl="0" w:tplc="DF8C8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7B2E70"/>
    <w:multiLevelType w:val="hybridMultilevel"/>
    <w:tmpl w:val="F83A7FA8"/>
    <w:lvl w:ilvl="0" w:tplc="CCE0362E">
      <w:start w:val="401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7704B7"/>
    <w:multiLevelType w:val="hybridMultilevel"/>
    <w:tmpl w:val="E340B246"/>
    <w:lvl w:ilvl="0" w:tplc="D934497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96494"/>
    <w:multiLevelType w:val="hybridMultilevel"/>
    <w:tmpl w:val="87AAF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30376"/>
    <w:multiLevelType w:val="hybridMultilevel"/>
    <w:tmpl w:val="46CE9F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C31EC"/>
    <w:multiLevelType w:val="hybridMultilevel"/>
    <w:tmpl w:val="B1A0C1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A6F67"/>
    <w:multiLevelType w:val="hybridMultilevel"/>
    <w:tmpl w:val="46CE9F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356CA"/>
    <w:multiLevelType w:val="hybridMultilevel"/>
    <w:tmpl w:val="46CE9F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10A87"/>
    <w:multiLevelType w:val="hybridMultilevel"/>
    <w:tmpl w:val="46CE9F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48130">
      <o:colormru v:ext="edit" colors="#c00"/>
      <o:colormenu v:ext="edit" fillcolor="none [2404]" strokecolor="none [1606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1DC6"/>
    <w:rsid w:val="0000055D"/>
    <w:rsid w:val="00000FA3"/>
    <w:rsid w:val="000015E7"/>
    <w:rsid w:val="00001908"/>
    <w:rsid w:val="000034AC"/>
    <w:rsid w:val="00004C54"/>
    <w:rsid w:val="00010181"/>
    <w:rsid w:val="00012F89"/>
    <w:rsid w:val="000130DE"/>
    <w:rsid w:val="00016EDD"/>
    <w:rsid w:val="00022193"/>
    <w:rsid w:val="0002255F"/>
    <w:rsid w:val="00022C4B"/>
    <w:rsid w:val="00023056"/>
    <w:rsid w:val="00024D89"/>
    <w:rsid w:val="000251C0"/>
    <w:rsid w:val="00026CBA"/>
    <w:rsid w:val="00032098"/>
    <w:rsid w:val="00033943"/>
    <w:rsid w:val="0003460E"/>
    <w:rsid w:val="00035105"/>
    <w:rsid w:val="0003656B"/>
    <w:rsid w:val="00041FC0"/>
    <w:rsid w:val="00043235"/>
    <w:rsid w:val="00043EC1"/>
    <w:rsid w:val="0004492E"/>
    <w:rsid w:val="00044DDD"/>
    <w:rsid w:val="00045FDD"/>
    <w:rsid w:val="0004609B"/>
    <w:rsid w:val="000462DD"/>
    <w:rsid w:val="00047D32"/>
    <w:rsid w:val="00054947"/>
    <w:rsid w:val="00055167"/>
    <w:rsid w:val="00055818"/>
    <w:rsid w:val="00056FF6"/>
    <w:rsid w:val="000572C8"/>
    <w:rsid w:val="00060EDB"/>
    <w:rsid w:val="00061197"/>
    <w:rsid w:val="000615B1"/>
    <w:rsid w:val="00061C6D"/>
    <w:rsid w:val="00061E09"/>
    <w:rsid w:val="00062050"/>
    <w:rsid w:val="00062CBF"/>
    <w:rsid w:val="0006373D"/>
    <w:rsid w:val="0006547A"/>
    <w:rsid w:val="00070CE8"/>
    <w:rsid w:val="00071068"/>
    <w:rsid w:val="00073293"/>
    <w:rsid w:val="000752AF"/>
    <w:rsid w:val="000757A4"/>
    <w:rsid w:val="000762D8"/>
    <w:rsid w:val="0007704A"/>
    <w:rsid w:val="000776DE"/>
    <w:rsid w:val="0007779B"/>
    <w:rsid w:val="000813CC"/>
    <w:rsid w:val="00082678"/>
    <w:rsid w:val="00084E25"/>
    <w:rsid w:val="00085847"/>
    <w:rsid w:val="0008593C"/>
    <w:rsid w:val="00085E59"/>
    <w:rsid w:val="0008628F"/>
    <w:rsid w:val="00091014"/>
    <w:rsid w:val="00094552"/>
    <w:rsid w:val="00094BCA"/>
    <w:rsid w:val="00095097"/>
    <w:rsid w:val="0009592E"/>
    <w:rsid w:val="000A087B"/>
    <w:rsid w:val="000A11FF"/>
    <w:rsid w:val="000A1A05"/>
    <w:rsid w:val="000A368A"/>
    <w:rsid w:val="000A594F"/>
    <w:rsid w:val="000A6901"/>
    <w:rsid w:val="000A6EE0"/>
    <w:rsid w:val="000A7EF8"/>
    <w:rsid w:val="000B0967"/>
    <w:rsid w:val="000B0EA4"/>
    <w:rsid w:val="000B1FF9"/>
    <w:rsid w:val="000B4367"/>
    <w:rsid w:val="000B5569"/>
    <w:rsid w:val="000B5B1A"/>
    <w:rsid w:val="000C13F2"/>
    <w:rsid w:val="000C1DCC"/>
    <w:rsid w:val="000C463D"/>
    <w:rsid w:val="000C4889"/>
    <w:rsid w:val="000C4893"/>
    <w:rsid w:val="000C4F59"/>
    <w:rsid w:val="000C66A9"/>
    <w:rsid w:val="000C6A9C"/>
    <w:rsid w:val="000D191E"/>
    <w:rsid w:val="000D24EC"/>
    <w:rsid w:val="000D4737"/>
    <w:rsid w:val="000D6110"/>
    <w:rsid w:val="000D7785"/>
    <w:rsid w:val="000D78A4"/>
    <w:rsid w:val="000E060C"/>
    <w:rsid w:val="000E38D9"/>
    <w:rsid w:val="000F2904"/>
    <w:rsid w:val="000F3780"/>
    <w:rsid w:val="000F5B2A"/>
    <w:rsid w:val="000F5F69"/>
    <w:rsid w:val="000F696A"/>
    <w:rsid w:val="00103691"/>
    <w:rsid w:val="001045B7"/>
    <w:rsid w:val="0010555F"/>
    <w:rsid w:val="001071DE"/>
    <w:rsid w:val="00114581"/>
    <w:rsid w:val="001149B5"/>
    <w:rsid w:val="00121081"/>
    <w:rsid w:val="00121098"/>
    <w:rsid w:val="0012428F"/>
    <w:rsid w:val="0012570B"/>
    <w:rsid w:val="00125A8B"/>
    <w:rsid w:val="00125B53"/>
    <w:rsid w:val="0013037C"/>
    <w:rsid w:val="00131953"/>
    <w:rsid w:val="001320A5"/>
    <w:rsid w:val="00132522"/>
    <w:rsid w:val="001356D0"/>
    <w:rsid w:val="00135DFD"/>
    <w:rsid w:val="00141DC6"/>
    <w:rsid w:val="00142B16"/>
    <w:rsid w:val="001430CF"/>
    <w:rsid w:val="00143B4A"/>
    <w:rsid w:val="00144486"/>
    <w:rsid w:val="00145064"/>
    <w:rsid w:val="001451BC"/>
    <w:rsid w:val="001500FD"/>
    <w:rsid w:val="00150CE5"/>
    <w:rsid w:val="0015163C"/>
    <w:rsid w:val="00151C0C"/>
    <w:rsid w:val="00153D4A"/>
    <w:rsid w:val="00156543"/>
    <w:rsid w:val="00157117"/>
    <w:rsid w:val="001603CA"/>
    <w:rsid w:val="00160E5A"/>
    <w:rsid w:val="00160FE1"/>
    <w:rsid w:val="001615D2"/>
    <w:rsid w:val="001617C2"/>
    <w:rsid w:val="00163527"/>
    <w:rsid w:val="00163D0D"/>
    <w:rsid w:val="00165322"/>
    <w:rsid w:val="00165727"/>
    <w:rsid w:val="00165FA9"/>
    <w:rsid w:val="00171C4A"/>
    <w:rsid w:val="00172725"/>
    <w:rsid w:val="00172FB7"/>
    <w:rsid w:val="0017483C"/>
    <w:rsid w:val="00174D35"/>
    <w:rsid w:val="00176506"/>
    <w:rsid w:val="0018009D"/>
    <w:rsid w:val="00181497"/>
    <w:rsid w:val="0018309D"/>
    <w:rsid w:val="001861F5"/>
    <w:rsid w:val="0018779E"/>
    <w:rsid w:val="00190B74"/>
    <w:rsid w:val="001913E4"/>
    <w:rsid w:val="00192350"/>
    <w:rsid w:val="0019243E"/>
    <w:rsid w:val="00192496"/>
    <w:rsid w:val="00196FC1"/>
    <w:rsid w:val="001A06A1"/>
    <w:rsid w:val="001A0D47"/>
    <w:rsid w:val="001A149C"/>
    <w:rsid w:val="001A35AE"/>
    <w:rsid w:val="001A3B4B"/>
    <w:rsid w:val="001A4F95"/>
    <w:rsid w:val="001A5516"/>
    <w:rsid w:val="001A75DE"/>
    <w:rsid w:val="001A79C8"/>
    <w:rsid w:val="001A7E2D"/>
    <w:rsid w:val="001B041C"/>
    <w:rsid w:val="001B08E5"/>
    <w:rsid w:val="001B23EC"/>
    <w:rsid w:val="001B4209"/>
    <w:rsid w:val="001B7C4A"/>
    <w:rsid w:val="001B7FEC"/>
    <w:rsid w:val="001C0B81"/>
    <w:rsid w:val="001C148B"/>
    <w:rsid w:val="001C1A6A"/>
    <w:rsid w:val="001C1AD2"/>
    <w:rsid w:val="001C1B0A"/>
    <w:rsid w:val="001C2BAA"/>
    <w:rsid w:val="001C43BD"/>
    <w:rsid w:val="001C59E7"/>
    <w:rsid w:val="001C68E7"/>
    <w:rsid w:val="001D18E8"/>
    <w:rsid w:val="001D2397"/>
    <w:rsid w:val="001D4519"/>
    <w:rsid w:val="001D4AB3"/>
    <w:rsid w:val="001D4E3B"/>
    <w:rsid w:val="001D56C9"/>
    <w:rsid w:val="001D5F98"/>
    <w:rsid w:val="001D7B85"/>
    <w:rsid w:val="001E0E6E"/>
    <w:rsid w:val="001E1316"/>
    <w:rsid w:val="001E1720"/>
    <w:rsid w:val="001E1942"/>
    <w:rsid w:val="001E19E8"/>
    <w:rsid w:val="001E443E"/>
    <w:rsid w:val="001E5498"/>
    <w:rsid w:val="001E60A6"/>
    <w:rsid w:val="001E6D62"/>
    <w:rsid w:val="001F109A"/>
    <w:rsid w:val="001F37C4"/>
    <w:rsid w:val="001F5696"/>
    <w:rsid w:val="0020043A"/>
    <w:rsid w:val="002007DC"/>
    <w:rsid w:val="00201E9A"/>
    <w:rsid w:val="002071EE"/>
    <w:rsid w:val="002119DB"/>
    <w:rsid w:val="002120A2"/>
    <w:rsid w:val="00212250"/>
    <w:rsid w:val="002131AA"/>
    <w:rsid w:val="002140A6"/>
    <w:rsid w:val="00214216"/>
    <w:rsid w:val="00216FC7"/>
    <w:rsid w:val="002174C0"/>
    <w:rsid w:val="002176A3"/>
    <w:rsid w:val="00222FC6"/>
    <w:rsid w:val="0022332B"/>
    <w:rsid w:val="00226305"/>
    <w:rsid w:val="0022761D"/>
    <w:rsid w:val="0022767E"/>
    <w:rsid w:val="00230BA1"/>
    <w:rsid w:val="00230D81"/>
    <w:rsid w:val="00233716"/>
    <w:rsid w:val="00233849"/>
    <w:rsid w:val="002343FB"/>
    <w:rsid w:val="0023574A"/>
    <w:rsid w:val="0023713D"/>
    <w:rsid w:val="00237523"/>
    <w:rsid w:val="0024076D"/>
    <w:rsid w:val="00243215"/>
    <w:rsid w:val="00247672"/>
    <w:rsid w:val="0025035E"/>
    <w:rsid w:val="00251211"/>
    <w:rsid w:val="0025152B"/>
    <w:rsid w:val="00251FBD"/>
    <w:rsid w:val="00252E3F"/>
    <w:rsid w:val="002533ED"/>
    <w:rsid w:val="002538A4"/>
    <w:rsid w:val="0025393B"/>
    <w:rsid w:val="0025413D"/>
    <w:rsid w:val="00257757"/>
    <w:rsid w:val="00257B45"/>
    <w:rsid w:val="002600EB"/>
    <w:rsid w:val="002615E4"/>
    <w:rsid w:val="00262DC4"/>
    <w:rsid w:val="0026337A"/>
    <w:rsid w:val="00263507"/>
    <w:rsid w:val="0026364C"/>
    <w:rsid w:val="00263902"/>
    <w:rsid w:val="002657EB"/>
    <w:rsid w:val="00266148"/>
    <w:rsid w:val="002666EB"/>
    <w:rsid w:val="00266878"/>
    <w:rsid w:val="00266CA3"/>
    <w:rsid w:val="00273903"/>
    <w:rsid w:val="0027416B"/>
    <w:rsid w:val="00274452"/>
    <w:rsid w:val="00275267"/>
    <w:rsid w:val="002754E1"/>
    <w:rsid w:val="002760FD"/>
    <w:rsid w:val="0027680A"/>
    <w:rsid w:val="002772DD"/>
    <w:rsid w:val="00281FD9"/>
    <w:rsid w:val="00283D4E"/>
    <w:rsid w:val="0028638B"/>
    <w:rsid w:val="00286881"/>
    <w:rsid w:val="002872B1"/>
    <w:rsid w:val="0029189D"/>
    <w:rsid w:val="0029284E"/>
    <w:rsid w:val="00292FF3"/>
    <w:rsid w:val="002930F0"/>
    <w:rsid w:val="002937C6"/>
    <w:rsid w:val="00295B06"/>
    <w:rsid w:val="002972A7"/>
    <w:rsid w:val="00297594"/>
    <w:rsid w:val="002A0171"/>
    <w:rsid w:val="002A0C4D"/>
    <w:rsid w:val="002A18BB"/>
    <w:rsid w:val="002A3EBE"/>
    <w:rsid w:val="002A55C1"/>
    <w:rsid w:val="002A5738"/>
    <w:rsid w:val="002A5803"/>
    <w:rsid w:val="002A5917"/>
    <w:rsid w:val="002A60F2"/>
    <w:rsid w:val="002A6B91"/>
    <w:rsid w:val="002A7A5F"/>
    <w:rsid w:val="002B1D31"/>
    <w:rsid w:val="002B2652"/>
    <w:rsid w:val="002B3EBA"/>
    <w:rsid w:val="002B4C3B"/>
    <w:rsid w:val="002B524D"/>
    <w:rsid w:val="002B650D"/>
    <w:rsid w:val="002C14F5"/>
    <w:rsid w:val="002C1818"/>
    <w:rsid w:val="002C1CE8"/>
    <w:rsid w:val="002C1EB6"/>
    <w:rsid w:val="002C22B3"/>
    <w:rsid w:val="002C4151"/>
    <w:rsid w:val="002C42A8"/>
    <w:rsid w:val="002C5687"/>
    <w:rsid w:val="002C6029"/>
    <w:rsid w:val="002C6BD7"/>
    <w:rsid w:val="002C6C85"/>
    <w:rsid w:val="002D0C83"/>
    <w:rsid w:val="002D3849"/>
    <w:rsid w:val="002D3CE2"/>
    <w:rsid w:val="002D3EAB"/>
    <w:rsid w:val="002D5D4E"/>
    <w:rsid w:val="002E079B"/>
    <w:rsid w:val="002E1303"/>
    <w:rsid w:val="002E2321"/>
    <w:rsid w:val="002E4736"/>
    <w:rsid w:val="002E5594"/>
    <w:rsid w:val="002E56D2"/>
    <w:rsid w:val="002E653F"/>
    <w:rsid w:val="002E6BFF"/>
    <w:rsid w:val="002F018D"/>
    <w:rsid w:val="002F1B9F"/>
    <w:rsid w:val="002F37B0"/>
    <w:rsid w:val="002F740C"/>
    <w:rsid w:val="00300789"/>
    <w:rsid w:val="0030094A"/>
    <w:rsid w:val="00301EBA"/>
    <w:rsid w:val="00303575"/>
    <w:rsid w:val="003054A6"/>
    <w:rsid w:val="00305BFB"/>
    <w:rsid w:val="00306DD0"/>
    <w:rsid w:val="00306DD1"/>
    <w:rsid w:val="003100D6"/>
    <w:rsid w:val="00310A60"/>
    <w:rsid w:val="003152D5"/>
    <w:rsid w:val="003156C7"/>
    <w:rsid w:val="00321567"/>
    <w:rsid w:val="003222F1"/>
    <w:rsid w:val="00324E54"/>
    <w:rsid w:val="003262D3"/>
    <w:rsid w:val="00326906"/>
    <w:rsid w:val="003322B8"/>
    <w:rsid w:val="00333D76"/>
    <w:rsid w:val="00340AFF"/>
    <w:rsid w:val="00340DBD"/>
    <w:rsid w:val="00341263"/>
    <w:rsid w:val="00342519"/>
    <w:rsid w:val="00344B9E"/>
    <w:rsid w:val="00347709"/>
    <w:rsid w:val="00347DE8"/>
    <w:rsid w:val="00350386"/>
    <w:rsid w:val="003514E8"/>
    <w:rsid w:val="00351A80"/>
    <w:rsid w:val="00353007"/>
    <w:rsid w:val="00354015"/>
    <w:rsid w:val="003559AF"/>
    <w:rsid w:val="00357BF3"/>
    <w:rsid w:val="0036348F"/>
    <w:rsid w:val="00363523"/>
    <w:rsid w:val="003648DD"/>
    <w:rsid w:val="00364DE5"/>
    <w:rsid w:val="0036787E"/>
    <w:rsid w:val="003678EF"/>
    <w:rsid w:val="00372CA8"/>
    <w:rsid w:val="00374BD6"/>
    <w:rsid w:val="00380E10"/>
    <w:rsid w:val="003813CA"/>
    <w:rsid w:val="003818B4"/>
    <w:rsid w:val="003821E6"/>
    <w:rsid w:val="003824D1"/>
    <w:rsid w:val="003833C4"/>
    <w:rsid w:val="00383533"/>
    <w:rsid w:val="00385D80"/>
    <w:rsid w:val="003870E8"/>
    <w:rsid w:val="003879C3"/>
    <w:rsid w:val="00391FBD"/>
    <w:rsid w:val="003945AF"/>
    <w:rsid w:val="003979AA"/>
    <w:rsid w:val="003A11F5"/>
    <w:rsid w:val="003A1E15"/>
    <w:rsid w:val="003A371B"/>
    <w:rsid w:val="003B1D1B"/>
    <w:rsid w:val="003B2357"/>
    <w:rsid w:val="003B379A"/>
    <w:rsid w:val="003B3FE3"/>
    <w:rsid w:val="003B6816"/>
    <w:rsid w:val="003B7821"/>
    <w:rsid w:val="003B7E1D"/>
    <w:rsid w:val="003C2E57"/>
    <w:rsid w:val="003C4ACE"/>
    <w:rsid w:val="003C6386"/>
    <w:rsid w:val="003C7AE3"/>
    <w:rsid w:val="003D0475"/>
    <w:rsid w:val="003D1B2A"/>
    <w:rsid w:val="003D37A0"/>
    <w:rsid w:val="003D401C"/>
    <w:rsid w:val="003D6DC3"/>
    <w:rsid w:val="003D6E8F"/>
    <w:rsid w:val="003E0B9B"/>
    <w:rsid w:val="003E1259"/>
    <w:rsid w:val="003E14CE"/>
    <w:rsid w:val="003E2A48"/>
    <w:rsid w:val="003E4978"/>
    <w:rsid w:val="003E4A4D"/>
    <w:rsid w:val="003E5514"/>
    <w:rsid w:val="003E769D"/>
    <w:rsid w:val="003F3583"/>
    <w:rsid w:val="003F36E6"/>
    <w:rsid w:val="003F46A5"/>
    <w:rsid w:val="003F78B3"/>
    <w:rsid w:val="00400593"/>
    <w:rsid w:val="0040105D"/>
    <w:rsid w:val="00401D85"/>
    <w:rsid w:val="004020DF"/>
    <w:rsid w:val="00402628"/>
    <w:rsid w:val="004032A0"/>
    <w:rsid w:val="004077CE"/>
    <w:rsid w:val="00407DB9"/>
    <w:rsid w:val="00411947"/>
    <w:rsid w:val="00411ED6"/>
    <w:rsid w:val="0041666E"/>
    <w:rsid w:val="00416EE4"/>
    <w:rsid w:val="0042305B"/>
    <w:rsid w:val="0042516E"/>
    <w:rsid w:val="00426095"/>
    <w:rsid w:val="0042758B"/>
    <w:rsid w:val="00427FA3"/>
    <w:rsid w:val="00430D88"/>
    <w:rsid w:val="00432EFC"/>
    <w:rsid w:val="004330B5"/>
    <w:rsid w:val="00434357"/>
    <w:rsid w:val="00435E02"/>
    <w:rsid w:val="004405DD"/>
    <w:rsid w:val="00443A1C"/>
    <w:rsid w:val="0044417C"/>
    <w:rsid w:val="00446540"/>
    <w:rsid w:val="00447033"/>
    <w:rsid w:val="0044753C"/>
    <w:rsid w:val="00453A87"/>
    <w:rsid w:val="004542EE"/>
    <w:rsid w:val="00456151"/>
    <w:rsid w:val="004569DE"/>
    <w:rsid w:val="00461FEB"/>
    <w:rsid w:val="00462D13"/>
    <w:rsid w:val="004630C3"/>
    <w:rsid w:val="0046369B"/>
    <w:rsid w:val="00463AE3"/>
    <w:rsid w:val="00464ACF"/>
    <w:rsid w:val="004659EC"/>
    <w:rsid w:val="00467FA9"/>
    <w:rsid w:val="0047057C"/>
    <w:rsid w:val="0047058E"/>
    <w:rsid w:val="00470E31"/>
    <w:rsid w:val="00471B9B"/>
    <w:rsid w:val="00474558"/>
    <w:rsid w:val="00474565"/>
    <w:rsid w:val="004749AB"/>
    <w:rsid w:val="00474B5C"/>
    <w:rsid w:val="00477E79"/>
    <w:rsid w:val="00477ECC"/>
    <w:rsid w:val="004805C6"/>
    <w:rsid w:val="00484A91"/>
    <w:rsid w:val="00485BF6"/>
    <w:rsid w:val="004875F0"/>
    <w:rsid w:val="0049017C"/>
    <w:rsid w:val="00491A9F"/>
    <w:rsid w:val="00492672"/>
    <w:rsid w:val="004927CC"/>
    <w:rsid w:val="00492E84"/>
    <w:rsid w:val="00493DE7"/>
    <w:rsid w:val="004954FE"/>
    <w:rsid w:val="004962F9"/>
    <w:rsid w:val="00497664"/>
    <w:rsid w:val="00497F13"/>
    <w:rsid w:val="004A0ED4"/>
    <w:rsid w:val="004A1496"/>
    <w:rsid w:val="004A17DE"/>
    <w:rsid w:val="004A2086"/>
    <w:rsid w:val="004A2E3E"/>
    <w:rsid w:val="004A5F0E"/>
    <w:rsid w:val="004A6D9D"/>
    <w:rsid w:val="004A6E75"/>
    <w:rsid w:val="004A74AB"/>
    <w:rsid w:val="004B008D"/>
    <w:rsid w:val="004B04B8"/>
    <w:rsid w:val="004B099A"/>
    <w:rsid w:val="004B1AD4"/>
    <w:rsid w:val="004B1F47"/>
    <w:rsid w:val="004B26BE"/>
    <w:rsid w:val="004B33C8"/>
    <w:rsid w:val="004B3679"/>
    <w:rsid w:val="004B3BF8"/>
    <w:rsid w:val="004B435D"/>
    <w:rsid w:val="004B58D3"/>
    <w:rsid w:val="004B5CA6"/>
    <w:rsid w:val="004B7A76"/>
    <w:rsid w:val="004C10C6"/>
    <w:rsid w:val="004C1DEC"/>
    <w:rsid w:val="004C4536"/>
    <w:rsid w:val="004C6247"/>
    <w:rsid w:val="004C7EB1"/>
    <w:rsid w:val="004D0301"/>
    <w:rsid w:val="004D03D5"/>
    <w:rsid w:val="004D1C84"/>
    <w:rsid w:val="004D33CA"/>
    <w:rsid w:val="004D6216"/>
    <w:rsid w:val="004D62CC"/>
    <w:rsid w:val="004D66B6"/>
    <w:rsid w:val="004D7361"/>
    <w:rsid w:val="004D7D6E"/>
    <w:rsid w:val="004E0370"/>
    <w:rsid w:val="004E03C9"/>
    <w:rsid w:val="004E05CF"/>
    <w:rsid w:val="004E1092"/>
    <w:rsid w:val="004E23EC"/>
    <w:rsid w:val="004E3DE2"/>
    <w:rsid w:val="004E522E"/>
    <w:rsid w:val="004E62A3"/>
    <w:rsid w:val="004E78DA"/>
    <w:rsid w:val="004E798F"/>
    <w:rsid w:val="004F169B"/>
    <w:rsid w:val="004F22DF"/>
    <w:rsid w:val="004F2DE8"/>
    <w:rsid w:val="004F5960"/>
    <w:rsid w:val="004F73C2"/>
    <w:rsid w:val="004F7715"/>
    <w:rsid w:val="004F778D"/>
    <w:rsid w:val="005026F5"/>
    <w:rsid w:val="00503700"/>
    <w:rsid w:val="00503F07"/>
    <w:rsid w:val="00505897"/>
    <w:rsid w:val="005058B6"/>
    <w:rsid w:val="00505FC7"/>
    <w:rsid w:val="00511E08"/>
    <w:rsid w:val="00511E19"/>
    <w:rsid w:val="00512944"/>
    <w:rsid w:val="00512CA1"/>
    <w:rsid w:val="00513771"/>
    <w:rsid w:val="00513F0E"/>
    <w:rsid w:val="005151F3"/>
    <w:rsid w:val="005154CA"/>
    <w:rsid w:val="00517EC9"/>
    <w:rsid w:val="00520EB8"/>
    <w:rsid w:val="00521FAF"/>
    <w:rsid w:val="00522A37"/>
    <w:rsid w:val="00525068"/>
    <w:rsid w:val="00530E98"/>
    <w:rsid w:val="005312A7"/>
    <w:rsid w:val="005314C1"/>
    <w:rsid w:val="005316CF"/>
    <w:rsid w:val="005323E1"/>
    <w:rsid w:val="00533B2D"/>
    <w:rsid w:val="00535BC3"/>
    <w:rsid w:val="0053797F"/>
    <w:rsid w:val="00540D06"/>
    <w:rsid w:val="0054111B"/>
    <w:rsid w:val="00541F7F"/>
    <w:rsid w:val="00542280"/>
    <w:rsid w:val="0054272F"/>
    <w:rsid w:val="00543E1E"/>
    <w:rsid w:val="00544ADC"/>
    <w:rsid w:val="0054509E"/>
    <w:rsid w:val="00545C42"/>
    <w:rsid w:val="0054668D"/>
    <w:rsid w:val="00547BB7"/>
    <w:rsid w:val="00551238"/>
    <w:rsid w:val="00551FBD"/>
    <w:rsid w:val="00553373"/>
    <w:rsid w:val="00553474"/>
    <w:rsid w:val="0055721B"/>
    <w:rsid w:val="00557D2D"/>
    <w:rsid w:val="0056257C"/>
    <w:rsid w:val="0056373C"/>
    <w:rsid w:val="00566ADB"/>
    <w:rsid w:val="0057089F"/>
    <w:rsid w:val="00571142"/>
    <w:rsid w:val="005729D4"/>
    <w:rsid w:val="00574332"/>
    <w:rsid w:val="0057562B"/>
    <w:rsid w:val="005759A1"/>
    <w:rsid w:val="00577D44"/>
    <w:rsid w:val="00580941"/>
    <w:rsid w:val="00581BA0"/>
    <w:rsid w:val="00583E68"/>
    <w:rsid w:val="00587D9F"/>
    <w:rsid w:val="00596B7F"/>
    <w:rsid w:val="005A0BDA"/>
    <w:rsid w:val="005A0E21"/>
    <w:rsid w:val="005A10A5"/>
    <w:rsid w:val="005A192A"/>
    <w:rsid w:val="005A1FCA"/>
    <w:rsid w:val="005A394C"/>
    <w:rsid w:val="005A7094"/>
    <w:rsid w:val="005A77D4"/>
    <w:rsid w:val="005B10D3"/>
    <w:rsid w:val="005B1220"/>
    <w:rsid w:val="005C04B3"/>
    <w:rsid w:val="005C1773"/>
    <w:rsid w:val="005C36DA"/>
    <w:rsid w:val="005C496E"/>
    <w:rsid w:val="005D04EE"/>
    <w:rsid w:val="005D1712"/>
    <w:rsid w:val="005D1DC1"/>
    <w:rsid w:val="005D543F"/>
    <w:rsid w:val="005E0759"/>
    <w:rsid w:val="005E17EB"/>
    <w:rsid w:val="005E2375"/>
    <w:rsid w:val="005F0438"/>
    <w:rsid w:val="005F1AA0"/>
    <w:rsid w:val="005F1D4B"/>
    <w:rsid w:val="005F3284"/>
    <w:rsid w:val="005F3BE6"/>
    <w:rsid w:val="005F4C11"/>
    <w:rsid w:val="005F6BC5"/>
    <w:rsid w:val="005F701E"/>
    <w:rsid w:val="005F7207"/>
    <w:rsid w:val="0060056C"/>
    <w:rsid w:val="0060122E"/>
    <w:rsid w:val="00602D4C"/>
    <w:rsid w:val="00603FF1"/>
    <w:rsid w:val="0060469F"/>
    <w:rsid w:val="00607AEA"/>
    <w:rsid w:val="0061015F"/>
    <w:rsid w:val="0061308A"/>
    <w:rsid w:val="00613417"/>
    <w:rsid w:val="006139AB"/>
    <w:rsid w:val="00616101"/>
    <w:rsid w:val="006169F2"/>
    <w:rsid w:val="0061714B"/>
    <w:rsid w:val="006179D8"/>
    <w:rsid w:val="00617CEE"/>
    <w:rsid w:val="006202AB"/>
    <w:rsid w:val="00620BE8"/>
    <w:rsid w:val="006223CE"/>
    <w:rsid w:val="00622B1A"/>
    <w:rsid w:val="00623804"/>
    <w:rsid w:val="00623F81"/>
    <w:rsid w:val="006255A6"/>
    <w:rsid w:val="006271AA"/>
    <w:rsid w:val="0062772A"/>
    <w:rsid w:val="006318A9"/>
    <w:rsid w:val="006339D3"/>
    <w:rsid w:val="00634D65"/>
    <w:rsid w:val="00635653"/>
    <w:rsid w:val="006356C4"/>
    <w:rsid w:val="00635984"/>
    <w:rsid w:val="006367BB"/>
    <w:rsid w:val="00637397"/>
    <w:rsid w:val="00637FD9"/>
    <w:rsid w:val="00640064"/>
    <w:rsid w:val="00640502"/>
    <w:rsid w:val="006407A8"/>
    <w:rsid w:val="00641960"/>
    <w:rsid w:val="00641BFE"/>
    <w:rsid w:val="00641DDB"/>
    <w:rsid w:val="006427A2"/>
    <w:rsid w:val="00642FD2"/>
    <w:rsid w:val="006431FE"/>
    <w:rsid w:val="00650F31"/>
    <w:rsid w:val="00651461"/>
    <w:rsid w:val="006524AB"/>
    <w:rsid w:val="0065309F"/>
    <w:rsid w:val="00653E17"/>
    <w:rsid w:val="00655020"/>
    <w:rsid w:val="006563E2"/>
    <w:rsid w:val="00656F9B"/>
    <w:rsid w:val="00661E60"/>
    <w:rsid w:val="00666120"/>
    <w:rsid w:val="00667699"/>
    <w:rsid w:val="00667C18"/>
    <w:rsid w:val="0067083E"/>
    <w:rsid w:val="00670FA3"/>
    <w:rsid w:val="00671421"/>
    <w:rsid w:val="006723E2"/>
    <w:rsid w:val="00673558"/>
    <w:rsid w:val="006736BF"/>
    <w:rsid w:val="006749E6"/>
    <w:rsid w:val="00675D83"/>
    <w:rsid w:val="00677D6D"/>
    <w:rsid w:val="00681FEB"/>
    <w:rsid w:val="00682CE8"/>
    <w:rsid w:val="00683739"/>
    <w:rsid w:val="0068457B"/>
    <w:rsid w:val="00684F7B"/>
    <w:rsid w:val="006858A8"/>
    <w:rsid w:val="00685CEC"/>
    <w:rsid w:val="006869FA"/>
    <w:rsid w:val="0069128D"/>
    <w:rsid w:val="00691A5B"/>
    <w:rsid w:val="006943AB"/>
    <w:rsid w:val="00696067"/>
    <w:rsid w:val="006A0608"/>
    <w:rsid w:val="006A0B7C"/>
    <w:rsid w:val="006A12C7"/>
    <w:rsid w:val="006A2C25"/>
    <w:rsid w:val="006A2DB1"/>
    <w:rsid w:val="006A3F42"/>
    <w:rsid w:val="006A49B6"/>
    <w:rsid w:val="006A512D"/>
    <w:rsid w:val="006A7062"/>
    <w:rsid w:val="006B098C"/>
    <w:rsid w:val="006B0A2F"/>
    <w:rsid w:val="006B1094"/>
    <w:rsid w:val="006B2627"/>
    <w:rsid w:val="006B2742"/>
    <w:rsid w:val="006B3446"/>
    <w:rsid w:val="006B53F5"/>
    <w:rsid w:val="006B65FD"/>
    <w:rsid w:val="006C160D"/>
    <w:rsid w:val="006C4B6B"/>
    <w:rsid w:val="006C616E"/>
    <w:rsid w:val="006C712F"/>
    <w:rsid w:val="006D143F"/>
    <w:rsid w:val="006D151A"/>
    <w:rsid w:val="006D2FDB"/>
    <w:rsid w:val="006D4417"/>
    <w:rsid w:val="006E0F4C"/>
    <w:rsid w:val="006E0FEA"/>
    <w:rsid w:val="006E43C3"/>
    <w:rsid w:val="006E64F8"/>
    <w:rsid w:val="006E69AF"/>
    <w:rsid w:val="006F02EB"/>
    <w:rsid w:val="006F053F"/>
    <w:rsid w:val="006F25C0"/>
    <w:rsid w:val="006F2B5D"/>
    <w:rsid w:val="006F5F74"/>
    <w:rsid w:val="007026CB"/>
    <w:rsid w:val="007044B9"/>
    <w:rsid w:val="00705F47"/>
    <w:rsid w:val="00706436"/>
    <w:rsid w:val="00706D5C"/>
    <w:rsid w:val="0070754C"/>
    <w:rsid w:val="00710D4D"/>
    <w:rsid w:val="00710DD0"/>
    <w:rsid w:val="00711B92"/>
    <w:rsid w:val="007142E5"/>
    <w:rsid w:val="00716C83"/>
    <w:rsid w:val="00716FC4"/>
    <w:rsid w:val="007221BD"/>
    <w:rsid w:val="007222BE"/>
    <w:rsid w:val="00723047"/>
    <w:rsid w:val="00724B5D"/>
    <w:rsid w:val="00726AEE"/>
    <w:rsid w:val="00731AE5"/>
    <w:rsid w:val="00733633"/>
    <w:rsid w:val="0073396A"/>
    <w:rsid w:val="00733A3A"/>
    <w:rsid w:val="00734210"/>
    <w:rsid w:val="00734730"/>
    <w:rsid w:val="00734ED2"/>
    <w:rsid w:val="007367D6"/>
    <w:rsid w:val="00737692"/>
    <w:rsid w:val="00740FF5"/>
    <w:rsid w:val="007413B2"/>
    <w:rsid w:val="00742D4A"/>
    <w:rsid w:val="007430FD"/>
    <w:rsid w:val="0074520B"/>
    <w:rsid w:val="007453A4"/>
    <w:rsid w:val="007458DF"/>
    <w:rsid w:val="007468FB"/>
    <w:rsid w:val="00746F6D"/>
    <w:rsid w:val="00747781"/>
    <w:rsid w:val="007478E9"/>
    <w:rsid w:val="00752591"/>
    <w:rsid w:val="00753AA6"/>
    <w:rsid w:val="00754C68"/>
    <w:rsid w:val="00754D32"/>
    <w:rsid w:val="00754FE9"/>
    <w:rsid w:val="00760B47"/>
    <w:rsid w:val="00760C13"/>
    <w:rsid w:val="0076289A"/>
    <w:rsid w:val="00765406"/>
    <w:rsid w:val="00765ECC"/>
    <w:rsid w:val="00767AD6"/>
    <w:rsid w:val="00771053"/>
    <w:rsid w:val="00771263"/>
    <w:rsid w:val="007736E9"/>
    <w:rsid w:val="00773FA0"/>
    <w:rsid w:val="007754A3"/>
    <w:rsid w:val="00780A47"/>
    <w:rsid w:val="00780FCD"/>
    <w:rsid w:val="00785B6D"/>
    <w:rsid w:val="00787FC4"/>
    <w:rsid w:val="007910A1"/>
    <w:rsid w:val="00791718"/>
    <w:rsid w:val="007931A4"/>
    <w:rsid w:val="007936DC"/>
    <w:rsid w:val="0079378A"/>
    <w:rsid w:val="00793AA7"/>
    <w:rsid w:val="00794E8A"/>
    <w:rsid w:val="00795672"/>
    <w:rsid w:val="0079623E"/>
    <w:rsid w:val="0079756B"/>
    <w:rsid w:val="007978E1"/>
    <w:rsid w:val="00797AE1"/>
    <w:rsid w:val="007A139A"/>
    <w:rsid w:val="007A43AC"/>
    <w:rsid w:val="007A6404"/>
    <w:rsid w:val="007A7B7E"/>
    <w:rsid w:val="007B17CA"/>
    <w:rsid w:val="007B2EAD"/>
    <w:rsid w:val="007B3EDA"/>
    <w:rsid w:val="007B4E09"/>
    <w:rsid w:val="007B6D6D"/>
    <w:rsid w:val="007C03AE"/>
    <w:rsid w:val="007C0B95"/>
    <w:rsid w:val="007C1F65"/>
    <w:rsid w:val="007C337D"/>
    <w:rsid w:val="007D4D81"/>
    <w:rsid w:val="007D4F0E"/>
    <w:rsid w:val="007D52CD"/>
    <w:rsid w:val="007D65D3"/>
    <w:rsid w:val="007E018E"/>
    <w:rsid w:val="007E12EB"/>
    <w:rsid w:val="007E41D9"/>
    <w:rsid w:val="007F2057"/>
    <w:rsid w:val="007F2311"/>
    <w:rsid w:val="007F2537"/>
    <w:rsid w:val="007F2B57"/>
    <w:rsid w:val="007F34F8"/>
    <w:rsid w:val="007F5E18"/>
    <w:rsid w:val="007F5FC5"/>
    <w:rsid w:val="007F7BA4"/>
    <w:rsid w:val="008002AA"/>
    <w:rsid w:val="0080048D"/>
    <w:rsid w:val="00800A6F"/>
    <w:rsid w:val="008028DD"/>
    <w:rsid w:val="00803255"/>
    <w:rsid w:val="00803ACA"/>
    <w:rsid w:val="00806ED0"/>
    <w:rsid w:val="00807291"/>
    <w:rsid w:val="00812284"/>
    <w:rsid w:val="0081254B"/>
    <w:rsid w:val="0081349A"/>
    <w:rsid w:val="0081416A"/>
    <w:rsid w:val="00820632"/>
    <w:rsid w:val="00821061"/>
    <w:rsid w:val="008222BE"/>
    <w:rsid w:val="008238D6"/>
    <w:rsid w:val="008246DD"/>
    <w:rsid w:val="008253F6"/>
    <w:rsid w:val="00832152"/>
    <w:rsid w:val="008322BA"/>
    <w:rsid w:val="0083397C"/>
    <w:rsid w:val="00833E8D"/>
    <w:rsid w:val="008354FC"/>
    <w:rsid w:val="008357F6"/>
    <w:rsid w:val="008404C7"/>
    <w:rsid w:val="00840D31"/>
    <w:rsid w:val="00841AD7"/>
    <w:rsid w:val="00841DAE"/>
    <w:rsid w:val="0084232E"/>
    <w:rsid w:val="0084387D"/>
    <w:rsid w:val="008553EF"/>
    <w:rsid w:val="00855D62"/>
    <w:rsid w:val="00856B17"/>
    <w:rsid w:val="00856F99"/>
    <w:rsid w:val="008576A2"/>
    <w:rsid w:val="008576CC"/>
    <w:rsid w:val="00857702"/>
    <w:rsid w:val="00861CB4"/>
    <w:rsid w:val="00864480"/>
    <w:rsid w:val="0086678B"/>
    <w:rsid w:val="00867F3D"/>
    <w:rsid w:val="00870063"/>
    <w:rsid w:val="00870B34"/>
    <w:rsid w:val="00871BF5"/>
    <w:rsid w:val="0087211F"/>
    <w:rsid w:val="00872477"/>
    <w:rsid w:val="00874938"/>
    <w:rsid w:val="00876F5B"/>
    <w:rsid w:val="00877D2C"/>
    <w:rsid w:val="0088046D"/>
    <w:rsid w:val="008811F6"/>
    <w:rsid w:val="00881599"/>
    <w:rsid w:val="00885B6F"/>
    <w:rsid w:val="00886049"/>
    <w:rsid w:val="00887437"/>
    <w:rsid w:val="00887F57"/>
    <w:rsid w:val="008909E9"/>
    <w:rsid w:val="00891BD1"/>
    <w:rsid w:val="00891D19"/>
    <w:rsid w:val="00891E41"/>
    <w:rsid w:val="00892094"/>
    <w:rsid w:val="00893456"/>
    <w:rsid w:val="00893E82"/>
    <w:rsid w:val="008A19B0"/>
    <w:rsid w:val="008A1A79"/>
    <w:rsid w:val="008A3DF8"/>
    <w:rsid w:val="008A5464"/>
    <w:rsid w:val="008A62F1"/>
    <w:rsid w:val="008A73F6"/>
    <w:rsid w:val="008B3785"/>
    <w:rsid w:val="008B3F8D"/>
    <w:rsid w:val="008B4598"/>
    <w:rsid w:val="008B5E35"/>
    <w:rsid w:val="008B7F3F"/>
    <w:rsid w:val="008B7F99"/>
    <w:rsid w:val="008C1280"/>
    <w:rsid w:val="008C1D35"/>
    <w:rsid w:val="008C4E1A"/>
    <w:rsid w:val="008C51FC"/>
    <w:rsid w:val="008C5C3F"/>
    <w:rsid w:val="008C5FEB"/>
    <w:rsid w:val="008C6266"/>
    <w:rsid w:val="008D14E5"/>
    <w:rsid w:val="008D23D4"/>
    <w:rsid w:val="008D2DF6"/>
    <w:rsid w:val="008D3029"/>
    <w:rsid w:val="008D4E5B"/>
    <w:rsid w:val="008D6814"/>
    <w:rsid w:val="008E06C3"/>
    <w:rsid w:val="008E0A92"/>
    <w:rsid w:val="008E1CE2"/>
    <w:rsid w:val="008E2F6B"/>
    <w:rsid w:val="008E38D4"/>
    <w:rsid w:val="008E405D"/>
    <w:rsid w:val="008E42EC"/>
    <w:rsid w:val="008E4CCB"/>
    <w:rsid w:val="008E4CF5"/>
    <w:rsid w:val="008E7912"/>
    <w:rsid w:val="008E7A64"/>
    <w:rsid w:val="008F1A6C"/>
    <w:rsid w:val="008F206C"/>
    <w:rsid w:val="008F5200"/>
    <w:rsid w:val="008F6BDF"/>
    <w:rsid w:val="008F7364"/>
    <w:rsid w:val="008F736F"/>
    <w:rsid w:val="008F77EC"/>
    <w:rsid w:val="00901AFB"/>
    <w:rsid w:val="00902DFD"/>
    <w:rsid w:val="00902F2B"/>
    <w:rsid w:val="00903D4B"/>
    <w:rsid w:val="009052A4"/>
    <w:rsid w:val="00905B87"/>
    <w:rsid w:val="00913C38"/>
    <w:rsid w:val="00917D9D"/>
    <w:rsid w:val="00920B08"/>
    <w:rsid w:val="00921424"/>
    <w:rsid w:val="009224CA"/>
    <w:rsid w:val="00922F90"/>
    <w:rsid w:val="00925994"/>
    <w:rsid w:val="00925D91"/>
    <w:rsid w:val="00930891"/>
    <w:rsid w:val="009312C7"/>
    <w:rsid w:val="009335EB"/>
    <w:rsid w:val="009344A6"/>
    <w:rsid w:val="00935A59"/>
    <w:rsid w:val="00936F92"/>
    <w:rsid w:val="0093779F"/>
    <w:rsid w:val="0094042E"/>
    <w:rsid w:val="00940A85"/>
    <w:rsid w:val="00940BA8"/>
    <w:rsid w:val="00941C00"/>
    <w:rsid w:val="009428F1"/>
    <w:rsid w:val="00947A35"/>
    <w:rsid w:val="0095125A"/>
    <w:rsid w:val="009517D8"/>
    <w:rsid w:val="00952DE2"/>
    <w:rsid w:val="0095530F"/>
    <w:rsid w:val="00955668"/>
    <w:rsid w:val="009568C8"/>
    <w:rsid w:val="009603D4"/>
    <w:rsid w:val="00962F5D"/>
    <w:rsid w:val="0096799D"/>
    <w:rsid w:val="009702C3"/>
    <w:rsid w:val="009740A4"/>
    <w:rsid w:val="0097477D"/>
    <w:rsid w:val="00974BF7"/>
    <w:rsid w:val="00975197"/>
    <w:rsid w:val="0097681F"/>
    <w:rsid w:val="00976E2A"/>
    <w:rsid w:val="009773C3"/>
    <w:rsid w:val="00980EFA"/>
    <w:rsid w:val="00980F5E"/>
    <w:rsid w:val="00981BC7"/>
    <w:rsid w:val="009833B3"/>
    <w:rsid w:val="009847E0"/>
    <w:rsid w:val="009858C4"/>
    <w:rsid w:val="00986397"/>
    <w:rsid w:val="0098795F"/>
    <w:rsid w:val="00987DCA"/>
    <w:rsid w:val="00990D5C"/>
    <w:rsid w:val="00994239"/>
    <w:rsid w:val="009942FA"/>
    <w:rsid w:val="009945EA"/>
    <w:rsid w:val="00994845"/>
    <w:rsid w:val="00996467"/>
    <w:rsid w:val="009974FE"/>
    <w:rsid w:val="009A0BFA"/>
    <w:rsid w:val="009A1270"/>
    <w:rsid w:val="009A1F6C"/>
    <w:rsid w:val="009A34FB"/>
    <w:rsid w:val="009A3D4D"/>
    <w:rsid w:val="009A3E41"/>
    <w:rsid w:val="009A3FCB"/>
    <w:rsid w:val="009A4E55"/>
    <w:rsid w:val="009B08D6"/>
    <w:rsid w:val="009B2218"/>
    <w:rsid w:val="009B2293"/>
    <w:rsid w:val="009B3410"/>
    <w:rsid w:val="009B4572"/>
    <w:rsid w:val="009B46BE"/>
    <w:rsid w:val="009B57D7"/>
    <w:rsid w:val="009B5D7D"/>
    <w:rsid w:val="009B6B54"/>
    <w:rsid w:val="009B754C"/>
    <w:rsid w:val="009C6632"/>
    <w:rsid w:val="009C7D53"/>
    <w:rsid w:val="009D19CF"/>
    <w:rsid w:val="009D2A4A"/>
    <w:rsid w:val="009D413E"/>
    <w:rsid w:val="009D507F"/>
    <w:rsid w:val="009D512D"/>
    <w:rsid w:val="009D5551"/>
    <w:rsid w:val="009D6755"/>
    <w:rsid w:val="009D76F4"/>
    <w:rsid w:val="009D7F7E"/>
    <w:rsid w:val="009E164C"/>
    <w:rsid w:val="009E49F7"/>
    <w:rsid w:val="009E53A5"/>
    <w:rsid w:val="009E5600"/>
    <w:rsid w:val="009F07A2"/>
    <w:rsid w:val="009F11C1"/>
    <w:rsid w:val="009F2A20"/>
    <w:rsid w:val="009F2D53"/>
    <w:rsid w:val="009F2DA6"/>
    <w:rsid w:val="009F43F6"/>
    <w:rsid w:val="009F5A7D"/>
    <w:rsid w:val="009F5FB3"/>
    <w:rsid w:val="009F6549"/>
    <w:rsid w:val="00A01C52"/>
    <w:rsid w:val="00A03782"/>
    <w:rsid w:val="00A03F62"/>
    <w:rsid w:val="00A045F1"/>
    <w:rsid w:val="00A10D33"/>
    <w:rsid w:val="00A1212B"/>
    <w:rsid w:val="00A126F1"/>
    <w:rsid w:val="00A1394D"/>
    <w:rsid w:val="00A159E3"/>
    <w:rsid w:val="00A170E6"/>
    <w:rsid w:val="00A20ADF"/>
    <w:rsid w:val="00A22231"/>
    <w:rsid w:val="00A24999"/>
    <w:rsid w:val="00A2505A"/>
    <w:rsid w:val="00A26AD3"/>
    <w:rsid w:val="00A276B9"/>
    <w:rsid w:val="00A27FCE"/>
    <w:rsid w:val="00A31502"/>
    <w:rsid w:val="00A3228F"/>
    <w:rsid w:val="00A326B7"/>
    <w:rsid w:val="00A32886"/>
    <w:rsid w:val="00A34A0D"/>
    <w:rsid w:val="00A34BEA"/>
    <w:rsid w:val="00A3644A"/>
    <w:rsid w:val="00A368C1"/>
    <w:rsid w:val="00A36D11"/>
    <w:rsid w:val="00A40EA2"/>
    <w:rsid w:val="00A42FAC"/>
    <w:rsid w:val="00A46A88"/>
    <w:rsid w:val="00A47186"/>
    <w:rsid w:val="00A50687"/>
    <w:rsid w:val="00A50D7D"/>
    <w:rsid w:val="00A52CEF"/>
    <w:rsid w:val="00A52CF9"/>
    <w:rsid w:val="00A5492C"/>
    <w:rsid w:val="00A5564E"/>
    <w:rsid w:val="00A55D6F"/>
    <w:rsid w:val="00A56E96"/>
    <w:rsid w:val="00A62A1F"/>
    <w:rsid w:val="00A62E84"/>
    <w:rsid w:val="00A6301D"/>
    <w:rsid w:val="00A636BD"/>
    <w:rsid w:val="00A63B5F"/>
    <w:rsid w:val="00A64C54"/>
    <w:rsid w:val="00A66E98"/>
    <w:rsid w:val="00A66FCA"/>
    <w:rsid w:val="00A67E93"/>
    <w:rsid w:val="00A7277A"/>
    <w:rsid w:val="00A73C0B"/>
    <w:rsid w:val="00A75DB2"/>
    <w:rsid w:val="00A764AC"/>
    <w:rsid w:val="00A76A33"/>
    <w:rsid w:val="00A802BE"/>
    <w:rsid w:val="00A819E7"/>
    <w:rsid w:val="00A829DA"/>
    <w:rsid w:val="00A848BA"/>
    <w:rsid w:val="00A86FF1"/>
    <w:rsid w:val="00A906E8"/>
    <w:rsid w:val="00A9098E"/>
    <w:rsid w:val="00A91C4A"/>
    <w:rsid w:val="00A92231"/>
    <w:rsid w:val="00A93692"/>
    <w:rsid w:val="00A95817"/>
    <w:rsid w:val="00AA3DA3"/>
    <w:rsid w:val="00AA61AF"/>
    <w:rsid w:val="00AA78B1"/>
    <w:rsid w:val="00AB0058"/>
    <w:rsid w:val="00AB0C17"/>
    <w:rsid w:val="00AB2BB4"/>
    <w:rsid w:val="00AB5170"/>
    <w:rsid w:val="00AB5B0C"/>
    <w:rsid w:val="00AB6D0E"/>
    <w:rsid w:val="00AC191A"/>
    <w:rsid w:val="00AC2140"/>
    <w:rsid w:val="00AC29B1"/>
    <w:rsid w:val="00AC3FFB"/>
    <w:rsid w:val="00AC54D8"/>
    <w:rsid w:val="00AC70F9"/>
    <w:rsid w:val="00AC7706"/>
    <w:rsid w:val="00AD1446"/>
    <w:rsid w:val="00AD39CA"/>
    <w:rsid w:val="00AD3D85"/>
    <w:rsid w:val="00AD4819"/>
    <w:rsid w:val="00AD56BF"/>
    <w:rsid w:val="00AE2D55"/>
    <w:rsid w:val="00AE305D"/>
    <w:rsid w:val="00AE35E7"/>
    <w:rsid w:val="00AE4699"/>
    <w:rsid w:val="00AE49FE"/>
    <w:rsid w:val="00AE55F6"/>
    <w:rsid w:val="00AF2607"/>
    <w:rsid w:val="00AF7D5D"/>
    <w:rsid w:val="00AF7FD6"/>
    <w:rsid w:val="00B0270A"/>
    <w:rsid w:val="00B04ED6"/>
    <w:rsid w:val="00B04EE5"/>
    <w:rsid w:val="00B04EEB"/>
    <w:rsid w:val="00B06F98"/>
    <w:rsid w:val="00B0750B"/>
    <w:rsid w:val="00B07B07"/>
    <w:rsid w:val="00B07CD5"/>
    <w:rsid w:val="00B12148"/>
    <w:rsid w:val="00B12B66"/>
    <w:rsid w:val="00B131B7"/>
    <w:rsid w:val="00B152E1"/>
    <w:rsid w:val="00B15418"/>
    <w:rsid w:val="00B15554"/>
    <w:rsid w:val="00B16E21"/>
    <w:rsid w:val="00B17DE2"/>
    <w:rsid w:val="00B17ECB"/>
    <w:rsid w:val="00B17FE2"/>
    <w:rsid w:val="00B27674"/>
    <w:rsid w:val="00B301F6"/>
    <w:rsid w:val="00B30A34"/>
    <w:rsid w:val="00B33433"/>
    <w:rsid w:val="00B341AC"/>
    <w:rsid w:val="00B3459A"/>
    <w:rsid w:val="00B3510C"/>
    <w:rsid w:val="00B35855"/>
    <w:rsid w:val="00B36C6A"/>
    <w:rsid w:val="00B37F7A"/>
    <w:rsid w:val="00B400E0"/>
    <w:rsid w:val="00B41300"/>
    <w:rsid w:val="00B41CCC"/>
    <w:rsid w:val="00B43C87"/>
    <w:rsid w:val="00B449DB"/>
    <w:rsid w:val="00B44EA9"/>
    <w:rsid w:val="00B4511C"/>
    <w:rsid w:val="00B47D87"/>
    <w:rsid w:val="00B50FBF"/>
    <w:rsid w:val="00B51994"/>
    <w:rsid w:val="00B533F7"/>
    <w:rsid w:val="00B553E6"/>
    <w:rsid w:val="00B55FF1"/>
    <w:rsid w:val="00B56E17"/>
    <w:rsid w:val="00B56FED"/>
    <w:rsid w:val="00B600F4"/>
    <w:rsid w:val="00B605C7"/>
    <w:rsid w:val="00B70C5F"/>
    <w:rsid w:val="00B70CBF"/>
    <w:rsid w:val="00B7491F"/>
    <w:rsid w:val="00B750F9"/>
    <w:rsid w:val="00B768BB"/>
    <w:rsid w:val="00B8049C"/>
    <w:rsid w:val="00B815A2"/>
    <w:rsid w:val="00B822C4"/>
    <w:rsid w:val="00B82D75"/>
    <w:rsid w:val="00B83666"/>
    <w:rsid w:val="00B849E7"/>
    <w:rsid w:val="00B86CF7"/>
    <w:rsid w:val="00B906E4"/>
    <w:rsid w:val="00B92738"/>
    <w:rsid w:val="00B9342A"/>
    <w:rsid w:val="00B93E15"/>
    <w:rsid w:val="00B9436A"/>
    <w:rsid w:val="00B94531"/>
    <w:rsid w:val="00B94868"/>
    <w:rsid w:val="00B959AA"/>
    <w:rsid w:val="00BA5413"/>
    <w:rsid w:val="00BA7CB0"/>
    <w:rsid w:val="00BB0D17"/>
    <w:rsid w:val="00BB151F"/>
    <w:rsid w:val="00BB3E75"/>
    <w:rsid w:val="00BB40D4"/>
    <w:rsid w:val="00BB4395"/>
    <w:rsid w:val="00BC170D"/>
    <w:rsid w:val="00BC1F2A"/>
    <w:rsid w:val="00BC5934"/>
    <w:rsid w:val="00BC66AD"/>
    <w:rsid w:val="00BC71BB"/>
    <w:rsid w:val="00BC794D"/>
    <w:rsid w:val="00BC7DDF"/>
    <w:rsid w:val="00BD02ED"/>
    <w:rsid w:val="00BD25BB"/>
    <w:rsid w:val="00BD330F"/>
    <w:rsid w:val="00BD3400"/>
    <w:rsid w:val="00BD34F1"/>
    <w:rsid w:val="00BD6135"/>
    <w:rsid w:val="00BD6E48"/>
    <w:rsid w:val="00BD70EA"/>
    <w:rsid w:val="00BD745F"/>
    <w:rsid w:val="00BE0590"/>
    <w:rsid w:val="00BE1AF9"/>
    <w:rsid w:val="00BE213F"/>
    <w:rsid w:val="00BE2E5E"/>
    <w:rsid w:val="00BE2FD5"/>
    <w:rsid w:val="00BE3ED0"/>
    <w:rsid w:val="00BE5351"/>
    <w:rsid w:val="00BE58B3"/>
    <w:rsid w:val="00BE71FD"/>
    <w:rsid w:val="00BF1053"/>
    <w:rsid w:val="00BF1A12"/>
    <w:rsid w:val="00BF3887"/>
    <w:rsid w:val="00BF4C83"/>
    <w:rsid w:val="00C00C76"/>
    <w:rsid w:val="00C04FC7"/>
    <w:rsid w:val="00C050F3"/>
    <w:rsid w:val="00C06088"/>
    <w:rsid w:val="00C073B1"/>
    <w:rsid w:val="00C10FBC"/>
    <w:rsid w:val="00C123E3"/>
    <w:rsid w:val="00C13860"/>
    <w:rsid w:val="00C14A29"/>
    <w:rsid w:val="00C157A3"/>
    <w:rsid w:val="00C16FA8"/>
    <w:rsid w:val="00C17444"/>
    <w:rsid w:val="00C2079B"/>
    <w:rsid w:val="00C20C9C"/>
    <w:rsid w:val="00C2199F"/>
    <w:rsid w:val="00C21DDC"/>
    <w:rsid w:val="00C222DD"/>
    <w:rsid w:val="00C22E3E"/>
    <w:rsid w:val="00C23C5A"/>
    <w:rsid w:val="00C23EE0"/>
    <w:rsid w:val="00C23FD1"/>
    <w:rsid w:val="00C25555"/>
    <w:rsid w:val="00C25BE2"/>
    <w:rsid w:val="00C3066D"/>
    <w:rsid w:val="00C30D75"/>
    <w:rsid w:val="00C3144D"/>
    <w:rsid w:val="00C314BC"/>
    <w:rsid w:val="00C31EBA"/>
    <w:rsid w:val="00C32336"/>
    <w:rsid w:val="00C3261F"/>
    <w:rsid w:val="00C34443"/>
    <w:rsid w:val="00C36347"/>
    <w:rsid w:val="00C36B85"/>
    <w:rsid w:val="00C37D6F"/>
    <w:rsid w:val="00C41AA8"/>
    <w:rsid w:val="00C42BF2"/>
    <w:rsid w:val="00C42FA5"/>
    <w:rsid w:val="00C43987"/>
    <w:rsid w:val="00C43A1A"/>
    <w:rsid w:val="00C43D85"/>
    <w:rsid w:val="00C43F3A"/>
    <w:rsid w:val="00C4406B"/>
    <w:rsid w:val="00C44B79"/>
    <w:rsid w:val="00C44C4C"/>
    <w:rsid w:val="00C44DF4"/>
    <w:rsid w:val="00C44ECB"/>
    <w:rsid w:val="00C460C6"/>
    <w:rsid w:val="00C46A03"/>
    <w:rsid w:val="00C513B4"/>
    <w:rsid w:val="00C54609"/>
    <w:rsid w:val="00C55BC0"/>
    <w:rsid w:val="00C55CB9"/>
    <w:rsid w:val="00C56B38"/>
    <w:rsid w:val="00C5703F"/>
    <w:rsid w:val="00C60033"/>
    <w:rsid w:val="00C635D4"/>
    <w:rsid w:val="00C639E9"/>
    <w:rsid w:val="00C64295"/>
    <w:rsid w:val="00C649D2"/>
    <w:rsid w:val="00C65677"/>
    <w:rsid w:val="00C66C8F"/>
    <w:rsid w:val="00C673E4"/>
    <w:rsid w:val="00C70019"/>
    <w:rsid w:val="00C7453B"/>
    <w:rsid w:val="00C74883"/>
    <w:rsid w:val="00C75603"/>
    <w:rsid w:val="00C75CD1"/>
    <w:rsid w:val="00C76400"/>
    <w:rsid w:val="00C76872"/>
    <w:rsid w:val="00C8026A"/>
    <w:rsid w:val="00C80F1B"/>
    <w:rsid w:val="00C8395C"/>
    <w:rsid w:val="00C848D8"/>
    <w:rsid w:val="00C856A4"/>
    <w:rsid w:val="00C860E0"/>
    <w:rsid w:val="00C87588"/>
    <w:rsid w:val="00C87C06"/>
    <w:rsid w:val="00C913F7"/>
    <w:rsid w:val="00C92867"/>
    <w:rsid w:val="00C957CD"/>
    <w:rsid w:val="00C95A02"/>
    <w:rsid w:val="00CA02CC"/>
    <w:rsid w:val="00CA0C55"/>
    <w:rsid w:val="00CA1286"/>
    <w:rsid w:val="00CA16C2"/>
    <w:rsid w:val="00CA1BD2"/>
    <w:rsid w:val="00CA3B0B"/>
    <w:rsid w:val="00CA4298"/>
    <w:rsid w:val="00CA4FFD"/>
    <w:rsid w:val="00CA755F"/>
    <w:rsid w:val="00CB0905"/>
    <w:rsid w:val="00CB2044"/>
    <w:rsid w:val="00CB2841"/>
    <w:rsid w:val="00CB4717"/>
    <w:rsid w:val="00CB58C5"/>
    <w:rsid w:val="00CB5C8E"/>
    <w:rsid w:val="00CB75FA"/>
    <w:rsid w:val="00CC41FF"/>
    <w:rsid w:val="00CC489F"/>
    <w:rsid w:val="00CC4DC3"/>
    <w:rsid w:val="00CC6BBD"/>
    <w:rsid w:val="00CD02EE"/>
    <w:rsid w:val="00CD058A"/>
    <w:rsid w:val="00CD2D98"/>
    <w:rsid w:val="00CD3D3A"/>
    <w:rsid w:val="00CD4225"/>
    <w:rsid w:val="00CD4A0B"/>
    <w:rsid w:val="00CD5D46"/>
    <w:rsid w:val="00CE2BA3"/>
    <w:rsid w:val="00CE370C"/>
    <w:rsid w:val="00CE3B89"/>
    <w:rsid w:val="00CE5C7B"/>
    <w:rsid w:val="00CE645F"/>
    <w:rsid w:val="00CF0083"/>
    <w:rsid w:val="00CF0453"/>
    <w:rsid w:val="00CF0510"/>
    <w:rsid w:val="00CF0E3C"/>
    <w:rsid w:val="00CF2356"/>
    <w:rsid w:val="00CF2615"/>
    <w:rsid w:val="00CF26C9"/>
    <w:rsid w:val="00CF48EB"/>
    <w:rsid w:val="00CF4AF4"/>
    <w:rsid w:val="00CF628E"/>
    <w:rsid w:val="00CF6CFC"/>
    <w:rsid w:val="00CF7A2E"/>
    <w:rsid w:val="00D02755"/>
    <w:rsid w:val="00D03209"/>
    <w:rsid w:val="00D03AC8"/>
    <w:rsid w:val="00D050DC"/>
    <w:rsid w:val="00D064B7"/>
    <w:rsid w:val="00D07753"/>
    <w:rsid w:val="00D10223"/>
    <w:rsid w:val="00D10416"/>
    <w:rsid w:val="00D10F09"/>
    <w:rsid w:val="00D1485D"/>
    <w:rsid w:val="00D1675A"/>
    <w:rsid w:val="00D170A0"/>
    <w:rsid w:val="00D22FBF"/>
    <w:rsid w:val="00D24CAD"/>
    <w:rsid w:val="00D26FE5"/>
    <w:rsid w:val="00D2797C"/>
    <w:rsid w:val="00D31E28"/>
    <w:rsid w:val="00D320FC"/>
    <w:rsid w:val="00D361AC"/>
    <w:rsid w:val="00D36253"/>
    <w:rsid w:val="00D377C6"/>
    <w:rsid w:val="00D40DDB"/>
    <w:rsid w:val="00D41FAE"/>
    <w:rsid w:val="00D42223"/>
    <w:rsid w:val="00D43ABF"/>
    <w:rsid w:val="00D469B8"/>
    <w:rsid w:val="00D471D8"/>
    <w:rsid w:val="00D4736F"/>
    <w:rsid w:val="00D47D5F"/>
    <w:rsid w:val="00D5133E"/>
    <w:rsid w:val="00D51578"/>
    <w:rsid w:val="00D5381E"/>
    <w:rsid w:val="00D55845"/>
    <w:rsid w:val="00D55860"/>
    <w:rsid w:val="00D5608F"/>
    <w:rsid w:val="00D56673"/>
    <w:rsid w:val="00D57741"/>
    <w:rsid w:val="00D60AC2"/>
    <w:rsid w:val="00D61AC4"/>
    <w:rsid w:val="00D61F58"/>
    <w:rsid w:val="00D621FE"/>
    <w:rsid w:val="00D63F19"/>
    <w:rsid w:val="00D644D6"/>
    <w:rsid w:val="00D6466B"/>
    <w:rsid w:val="00D67029"/>
    <w:rsid w:val="00D67994"/>
    <w:rsid w:val="00D70A95"/>
    <w:rsid w:val="00D70D2A"/>
    <w:rsid w:val="00D764AA"/>
    <w:rsid w:val="00D779ED"/>
    <w:rsid w:val="00D81D1E"/>
    <w:rsid w:val="00D81F0F"/>
    <w:rsid w:val="00D82498"/>
    <w:rsid w:val="00D831F7"/>
    <w:rsid w:val="00D83ADF"/>
    <w:rsid w:val="00D846AE"/>
    <w:rsid w:val="00D90FCC"/>
    <w:rsid w:val="00D91D08"/>
    <w:rsid w:val="00D91EC7"/>
    <w:rsid w:val="00D922EF"/>
    <w:rsid w:val="00D97548"/>
    <w:rsid w:val="00DA0921"/>
    <w:rsid w:val="00DA0AF2"/>
    <w:rsid w:val="00DA0D12"/>
    <w:rsid w:val="00DA3E9E"/>
    <w:rsid w:val="00DA5155"/>
    <w:rsid w:val="00DA6717"/>
    <w:rsid w:val="00DB1B90"/>
    <w:rsid w:val="00DB1F94"/>
    <w:rsid w:val="00DB361E"/>
    <w:rsid w:val="00DB5D6B"/>
    <w:rsid w:val="00DB61DF"/>
    <w:rsid w:val="00DC299D"/>
    <w:rsid w:val="00DC5A63"/>
    <w:rsid w:val="00DC6908"/>
    <w:rsid w:val="00DC6DA3"/>
    <w:rsid w:val="00DC6EAA"/>
    <w:rsid w:val="00DD0F3D"/>
    <w:rsid w:val="00DD51A5"/>
    <w:rsid w:val="00DD5B84"/>
    <w:rsid w:val="00DD7389"/>
    <w:rsid w:val="00DD7729"/>
    <w:rsid w:val="00DD7EC9"/>
    <w:rsid w:val="00DE0579"/>
    <w:rsid w:val="00DE0E09"/>
    <w:rsid w:val="00DE4438"/>
    <w:rsid w:val="00DE5172"/>
    <w:rsid w:val="00DE5DD1"/>
    <w:rsid w:val="00DE6BC7"/>
    <w:rsid w:val="00DE7912"/>
    <w:rsid w:val="00DE7C91"/>
    <w:rsid w:val="00DF16BC"/>
    <w:rsid w:val="00DF6A4C"/>
    <w:rsid w:val="00E00D39"/>
    <w:rsid w:val="00E01096"/>
    <w:rsid w:val="00E02ABC"/>
    <w:rsid w:val="00E054DF"/>
    <w:rsid w:val="00E06491"/>
    <w:rsid w:val="00E07C90"/>
    <w:rsid w:val="00E120E2"/>
    <w:rsid w:val="00E13E60"/>
    <w:rsid w:val="00E14FFC"/>
    <w:rsid w:val="00E15418"/>
    <w:rsid w:val="00E1560E"/>
    <w:rsid w:val="00E15B62"/>
    <w:rsid w:val="00E1760F"/>
    <w:rsid w:val="00E22B4D"/>
    <w:rsid w:val="00E23646"/>
    <w:rsid w:val="00E246AF"/>
    <w:rsid w:val="00E24D73"/>
    <w:rsid w:val="00E25AD6"/>
    <w:rsid w:val="00E30421"/>
    <w:rsid w:val="00E33654"/>
    <w:rsid w:val="00E344EE"/>
    <w:rsid w:val="00E34731"/>
    <w:rsid w:val="00E35EDF"/>
    <w:rsid w:val="00E37DEC"/>
    <w:rsid w:val="00E42DF0"/>
    <w:rsid w:val="00E43152"/>
    <w:rsid w:val="00E47090"/>
    <w:rsid w:val="00E51E98"/>
    <w:rsid w:val="00E533C1"/>
    <w:rsid w:val="00E540D2"/>
    <w:rsid w:val="00E5581E"/>
    <w:rsid w:val="00E56056"/>
    <w:rsid w:val="00E578B1"/>
    <w:rsid w:val="00E618BD"/>
    <w:rsid w:val="00E61B03"/>
    <w:rsid w:val="00E63C8E"/>
    <w:rsid w:val="00E6433C"/>
    <w:rsid w:val="00E651DF"/>
    <w:rsid w:val="00E659CD"/>
    <w:rsid w:val="00E666B2"/>
    <w:rsid w:val="00E67C67"/>
    <w:rsid w:val="00E71309"/>
    <w:rsid w:val="00E71C54"/>
    <w:rsid w:val="00E72561"/>
    <w:rsid w:val="00E72CCE"/>
    <w:rsid w:val="00E72EEE"/>
    <w:rsid w:val="00E73194"/>
    <w:rsid w:val="00E73EE7"/>
    <w:rsid w:val="00E75228"/>
    <w:rsid w:val="00E7593B"/>
    <w:rsid w:val="00E759F6"/>
    <w:rsid w:val="00E77631"/>
    <w:rsid w:val="00E808F9"/>
    <w:rsid w:val="00E80FF6"/>
    <w:rsid w:val="00E818C5"/>
    <w:rsid w:val="00E81C5D"/>
    <w:rsid w:val="00E84ED4"/>
    <w:rsid w:val="00E8513C"/>
    <w:rsid w:val="00E8697A"/>
    <w:rsid w:val="00E87524"/>
    <w:rsid w:val="00E91D0C"/>
    <w:rsid w:val="00E92329"/>
    <w:rsid w:val="00E9484C"/>
    <w:rsid w:val="00EA2EE3"/>
    <w:rsid w:val="00EA63D6"/>
    <w:rsid w:val="00EA6ED9"/>
    <w:rsid w:val="00EB25A3"/>
    <w:rsid w:val="00EB2D7F"/>
    <w:rsid w:val="00EB2E5E"/>
    <w:rsid w:val="00EB2EA1"/>
    <w:rsid w:val="00EB42EB"/>
    <w:rsid w:val="00EB52AD"/>
    <w:rsid w:val="00EB5D4C"/>
    <w:rsid w:val="00EB6704"/>
    <w:rsid w:val="00EB6792"/>
    <w:rsid w:val="00EB6CA2"/>
    <w:rsid w:val="00EB7489"/>
    <w:rsid w:val="00EC02F4"/>
    <w:rsid w:val="00EC032C"/>
    <w:rsid w:val="00EC03B0"/>
    <w:rsid w:val="00EC34AD"/>
    <w:rsid w:val="00EC6468"/>
    <w:rsid w:val="00EC6F12"/>
    <w:rsid w:val="00ED0948"/>
    <w:rsid w:val="00ED0C94"/>
    <w:rsid w:val="00ED2AE4"/>
    <w:rsid w:val="00ED2DBE"/>
    <w:rsid w:val="00ED3844"/>
    <w:rsid w:val="00ED542D"/>
    <w:rsid w:val="00ED6969"/>
    <w:rsid w:val="00ED75C3"/>
    <w:rsid w:val="00ED7642"/>
    <w:rsid w:val="00EE25D2"/>
    <w:rsid w:val="00EE3B75"/>
    <w:rsid w:val="00EE458E"/>
    <w:rsid w:val="00EE76E3"/>
    <w:rsid w:val="00EE7985"/>
    <w:rsid w:val="00EF102C"/>
    <w:rsid w:val="00EF1BD8"/>
    <w:rsid w:val="00EF333A"/>
    <w:rsid w:val="00EF3C07"/>
    <w:rsid w:val="00EF4CD2"/>
    <w:rsid w:val="00EF60E2"/>
    <w:rsid w:val="00F00DD4"/>
    <w:rsid w:val="00F01E5F"/>
    <w:rsid w:val="00F03D02"/>
    <w:rsid w:val="00F05B24"/>
    <w:rsid w:val="00F07915"/>
    <w:rsid w:val="00F07B04"/>
    <w:rsid w:val="00F107EE"/>
    <w:rsid w:val="00F10CB3"/>
    <w:rsid w:val="00F10D4D"/>
    <w:rsid w:val="00F13440"/>
    <w:rsid w:val="00F139A9"/>
    <w:rsid w:val="00F13DD0"/>
    <w:rsid w:val="00F1413C"/>
    <w:rsid w:val="00F16099"/>
    <w:rsid w:val="00F20010"/>
    <w:rsid w:val="00F210F5"/>
    <w:rsid w:val="00F234BF"/>
    <w:rsid w:val="00F23A7D"/>
    <w:rsid w:val="00F24A7D"/>
    <w:rsid w:val="00F25695"/>
    <w:rsid w:val="00F25861"/>
    <w:rsid w:val="00F3067E"/>
    <w:rsid w:val="00F31B3D"/>
    <w:rsid w:val="00F3326B"/>
    <w:rsid w:val="00F33356"/>
    <w:rsid w:val="00F333BD"/>
    <w:rsid w:val="00F34354"/>
    <w:rsid w:val="00F346EC"/>
    <w:rsid w:val="00F35CB2"/>
    <w:rsid w:val="00F3715B"/>
    <w:rsid w:val="00F37556"/>
    <w:rsid w:val="00F37B18"/>
    <w:rsid w:val="00F413D3"/>
    <w:rsid w:val="00F41AE5"/>
    <w:rsid w:val="00F41B3B"/>
    <w:rsid w:val="00F41F3C"/>
    <w:rsid w:val="00F426E9"/>
    <w:rsid w:val="00F4592D"/>
    <w:rsid w:val="00F46C0F"/>
    <w:rsid w:val="00F4774D"/>
    <w:rsid w:val="00F5387C"/>
    <w:rsid w:val="00F540C3"/>
    <w:rsid w:val="00F543DB"/>
    <w:rsid w:val="00F543FC"/>
    <w:rsid w:val="00F557EB"/>
    <w:rsid w:val="00F56440"/>
    <w:rsid w:val="00F604EB"/>
    <w:rsid w:val="00F61E66"/>
    <w:rsid w:val="00F62664"/>
    <w:rsid w:val="00F64268"/>
    <w:rsid w:val="00F642D8"/>
    <w:rsid w:val="00F6468F"/>
    <w:rsid w:val="00F67E08"/>
    <w:rsid w:val="00F70589"/>
    <w:rsid w:val="00F71622"/>
    <w:rsid w:val="00F71E0F"/>
    <w:rsid w:val="00F727D7"/>
    <w:rsid w:val="00F72BDD"/>
    <w:rsid w:val="00F73BA9"/>
    <w:rsid w:val="00F74440"/>
    <w:rsid w:val="00F762D6"/>
    <w:rsid w:val="00F77AC7"/>
    <w:rsid w:val="00F80669"/>
    <w:rsid w:val="00F81703"/>
    <w:rsid w:val="00F8197F"/>
    <w:rsid w:val="00F8389F"/>
    <w:rsid w:val="00F8559B"/>
    <w:rsid w:val="00F855FC"/>
    <w:rsid w:val="00F86FBA"/>
    <w:rsid w:val="00F8732E"/>
    <w:rsid w:val="00F878AC"/>
    <w:rsid w:val="00F90AE0"/>
    <w:rsid w:val="00F920EC"/>
    <w:rsid w:val="00F92AD0"/>
    <w:rsid w:val="00F92DD3"/>
    <w:rsid w:val="00F9312B"/>
    <w:rsid w:val="00F93CB0"/>
    <w:rsid w:val="00F95F08"/>
    <w:rsid w:val="00FA047C"/>
    <w:rsid w:val="00FA1BF0"/>
    <w:rsid w:val="00FA2BDE"/>
    <w:rsid w:val="00FA32D0"/>
    <w:rsid w:val="00FA5629"/>
    <w:rsid w:val="00FA5B22"/>
    <w:rsid w:val="00FB02D9"/>
    <w:rsid w:val="00FB0585"/>
    <w:rsid w:val="00FB402C"/>
    <w:rsid w:val="00FB5112"/>
    <w:rsid w:val="00FB5466"/>
    <w:rsid w:val="00FB659F"/>
    <w:rsid w:val="00FB75C7"/>
    <w:rsid w:val="00FB7D4D"/>
    <w:rsid w:val="00FC07CB"/>
    <w:rsid w:val="00FC1F16"/>
    <w:rsid w:val="00FC2638"/>
    <w:rsid w:val="00FC2B95"/>
    <w:rsid w:val="00FC2F8C"/>
    <w:rsid w:val="00FC45ED"/>
    <w:rsid w:val="00FC57D1"/>
    <w:rsid w:val="00FC60B7"/>
    <w:rsid w:val="00FC6329"/>
    <w:rsid w:val="00FC6430"/>
    <w:rsid w:val="00FD0207"/>
    <w:rsid w:val="00FD0F56"/>
    <w:rsid w:val="00FD1165"/>
    <w:rsid w:val="00FD21D2"/>
    <w:rsid w:val="00FD29A8"/>
    <w:rsid w:val="00FD319E"/>
    <w:rsid w:val="00FD3997"/>
    <w:rsid w:val="00FD6970"/>
    <w:rsid w:val="00FD7761"/>
    <w:rsid w:val="00FD7D83"/>
    <w:rsid w:val="00FE00F4"/>
    <w:rsid w:val="00FE0BE0"/>
    <w:rsid w:val="00FE2C58"/>
    <w:rsid w:val="00FE2FD2"/>
    <w:rsid w:val="00FE36DE"/>
    <w:rsid w:val="00FE3C2B"/>
    <w:rsid w:val="00FE43BB"/>
    <w:rsid w:val="00FE4EE7"/>
    <w:rsid w:val="00FE513B"/>
    <w:rsid w:val="00FE53EE"/>
    <w:rsid w:val="00FE6488"/>
    <w:rsid w:val="00FE6F11"/>
    <w:rsid w:val="00FF21C3"/>
    <w:rsid w:val="00FF4037"/>
    <w:rsid w:val="00FF4873"/>
    <w:rsid w:val="00FF5F4A"/>
    <w:rsid w:val="00FF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ru v:ext="edit" colors="#c00"/>
      <o:colormenu v:ext="edit" fillcolor="none [2404]" strokecolor="none [1606]"/>
    </o:shapedefaults>
    <o:shapelayout v:ext="edit">
      <o:idmap v:ext="edit" data="1"/>
      <o:rules v:ext="edit">
        <o:r id="V:Rule2" type="connector" idref="#_x0000_s11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54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54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54A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1DC6"/>
    <w:pPr>
      <w:ind w:left="720"/>
      <w:contextualSpacing/>
    </w:pPr>
  </w:style>
  <w:style w:type="table" w:styleId="Tabelacomgrade">
    <w:name w:val="Table Grid"/>
    <w:basedOn w:val="Tabelanormal"/>
    <w:uiPriority w:val="59"/>
    <w:rsid w:val="006B34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5">
    <w:name w:val="Light Shading Accent 5"/>
    <w:basedOn w:val="Tabelanormal"/>
    <w:uiPriority w:val="60"/>
    <w:rsid w:val="006B344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nfase5">
    <w:name w:val="Light List Accent 5"/>
    <w:basedOn w:val="Tabelanormal"/>
    <w:uiPriority w:val="61"/>
    <w:rsid w:val="006B344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adeClara-nfase5">
    <w:name w:val="Light Grid Accent 5"/>
    <w:basedOn w:val="Tabelanormal"/>
    <w:uiPriority w:val="62"/>
    <w:rsid w:val="006B344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staMdia1-nfase5">
    <w:name w:val="Medium List 1 Accent 5"/>
    <w:basedOn w:val="Tabelanormal"/>
    <w:uiPriority w:val="65"/>
    <w:rsid w:val="006B3446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Ttulo">
    <w:name w:val="Title"/>
    <w:basedOn w:val="Normal"/>
    <w:next w:val="Normal"/>
    <w:link w:val="TtuloChar"/>
    <w:uiPriority w:val="10"/>
    <w:qFormat/>
    <w:rsid w:val="00004C5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004C5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754A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7754A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7754A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3B78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3B7821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D5C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12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3E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2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23E3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E14FF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cs\Documents\2010\Espor&#225;dicos\Paper%20Outlook\C&#243;pia%20de%202010_01_10_Projections_4_Draf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cs\Documents\2010\Espor&#225;dicos\Paper%20Outlook\2010_01_10_Projections%20Anamari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cs\Documents\2010\Espor&#225;dicos\Paper%20Outlook\C&#243;pia%20de%202010_01_10_Projections_4_Draft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cs\Documents\2010\Espor&#225;dicos\Paper%20Outlook\C&#243;pia%20de%202010_01_10_Projections_4_Draft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cs\Documents\2010\Espor&#225;dicos\Paper%20Outlook\C&#243;pia%20de%202010_01_10_Projections_4_Draft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cs\Documents\2010\Espor&#225;dicos\Paper%20Outlook\2010_01_10_Projections%20Anamaria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cs\Documents\2010\Espor&#225;dicos\Paper%20Outlook\2010_01_10_Projections%20Anamaria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cs\Documents\2010\Espor&#225;dicos\Paper%20Outlook\2010_01_10_Projections%20Anamari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900"/>
            </a:pPr>
            <a:r>
              <a:rPr lang="pt-BR" sz="900"/>
              <a:t>Projeção para os próximos 10</a:t>
            </a:r>
            <a:r>
              <a:rPr lang="pt-BR" sz="900" baseline="0"/>
              <a:t> anos - SOJA</a:t>
            </a:r>
            <a:endParaRPr lang="pt-BR" sz="900"/>
          </a:p>
        </c:rich>
      </c:tx>
      <c:layout>
        <c:manualLayout>
          <c:xMode val="edge"/>
          <c:yMode val="edge"/>
          <c:x val="0.17745674210809079"/>
          <c:y val="3.5451193197837197E-2"/>
        </c:manualLayout>
      </c:layout>
    </c:title>
    <c:plotArea>
      <c:layout>
        <c:manualLayout>
          <c:layoutTarget val="inner"/>
          <c:xMode val="edge"/>
          <c:yMode val="edge"/>
          <c:x val="0.17340462962418982"/>
          <c:y val="0.18307610282520895"/>
          <c:w val="0.80572119768890904"/>
          <c:h val="0.50602902903741176"/>
        </c:manualLayout>
      </c:layout>
      <c:lineChart>
        <c:grouping val="standard"/>
        <c:ser>
          <c:idx val="0"/>
          <c:order val="0"/>
          <c:tx>
            <c:strRef>
              <c:f>Plan1!$C$44</c:f>
              <c:strCache>
                <c:ptCount val="1"/>
                <c:pt idx="0">
                  <c:v>Area (mil ha)</c:v>
                </c:pt>
              </c:strCache>
            </c:strRef>
          </c:tx>
          <c:cat>
            <c:numRef>
              <c:f>Plan1!$D$37:$N$37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Plan1!$D$44:$N$44</c:f>
              <c:numCache>
                <c:formatCode>#,##0</c:formatCode>
                <c:ptCount val="11"/>
                <c:pt idx="0">
                  <c:v>6070</c:v>
                </c:pt>
                <c:pt idx="1">
                  <c:v>6221.75</c:v>
                </c:pt>
                <c:pt idx="2">
                  <c:v>6377.2937499999998</c:v>
                </c:pt>
                <c:pt idx="3">
                  <c:v>6536.7260937500014</c:v>
                </c:pt>
                <c:pt idx="4">
                  <c:v>6700.1442460937542</c:v>
                </c:pt>
                <c:pt idx="5">
                  <c:v>6867.6478522460875</c:v>
                </c:pt>
                <c:pt idx="6">
                  <c:v>7039.339048552245</c:v>
                </c:pt>
                <c:pt idx="7">
                  <c:v>7215.3225247660566</c:v>
                </c:pt>
                <c:pt idx="8">
                  <c:v>7395.7055878852025</c:v>
                </c:pt>
                <c:pt idx="9">
                  <c:v>7580.5982275823344</c:v>
                </c:pt>
                <c:pt idx="10">
                  <c:v>7770.1131832718938</c:v>
                </c:pt>
              </c:numCache>
            </c:numRef>
          </c:val>
        </c:ser>
        <c:ser>
          <c:idx val="1"/>
          <c:order val="1"/>
          <c:tx>
            <c:strRef>
              <c:f>Plan1!$C$45</c:f>
              <c:strCache>
                <c:ptCount val="1"/>
                <c:pt idx="0">
                  <c:v>Produção (mil ton)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75000"/>
                  </a:schemeClr>
                </a:solidFill>
              </a:ln>
            </c:spPr>
          </c:marker>
          <c:cat>
            <c:numRef>
              <c:f>Plan1!$D$37:$N$37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Plan1!$D$45:$N$45</c:f>
              <c:numCache>
                <c:formatCode>#,##0</c:formatCode>
                <c:ptCount val="11"/>
                <c:pt idx="0">
                  <c:v>18222.14</c:v>
                </c:pt>
                <c:pt idx="1">
                  <c:v>18957.8589025</c:v>
                </c:pt>
                <c:pt idx="2">
                  <c:v>19723.282455688452</c:v>
                </c:pt>
                <c:pt idx="3">
                  <c:v>20519.609984836847</c:v>
                </c:pt>
                <c:pt idx="4">
                  <c:v>21348.089237974636</c:v>
                </c:pt>
                <c:pt idx="5">
                  <c:v>22210.018340957857</c:v>
                </c:pt>
                <c:pt idx="6">
                  <c:v>23106.747831474055</c:v>
                </c:pt>
                <c:pt idx="7">
                  <c:v>24039.682775169818</c:v>
                </c:pt>
                <c:pt idx="8">
                  <c:v>25010.284967217289</c:v>
                </c:pt>
                <c:pt idx="9">
                  <c:v>26020.075222768697</c:v>
                </c:pt>
                <c:pt idx="10">
                  <c:v>27070.635759887944</c:v>
                </c:pt>
              </c:numCache>
            </c:numRef>
          </c:val>
        </c:ser>
        <c:marker val="1"/>
        <c:axId val="76252288"/>
        <c:axId val="76254208"/>
      </c:lineChart>
      <c:catAx>
        <c:axId val="762522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750"/>
            </a:pPr>
            <a:endParaRPr lang="pt-BR"/>
          </a:p>
        </c:txPr>
        <c:crossAx val="76254208"/>
        <c:crosses val="autoZero"/>
        <c:auto val="1"/>
        <c:lblAlgn val="ctr"/>
        <c:lblOffset val="100"/>
      </c:catAx>
      <c:valAx>
        <c:axId val="76254208"/>
        <c:scaling>
          <c:orientation val="minMax"/>
        </c:scaling>
        <c:axPos val="l"/>
        <c:majorGridlines>
          <c:spPr>
            <a:effectLst>
              <a:outerShdw blurRad="50800" dist="50800" dir="5400000" algn="ctr" rotWithShape="0">
                <a:schemeClr val="bg1">
                  <a:lumMod val="95000"/>
                </a:schemeClr>
              </a:outerShdw>
            </a:effectLst>
          </c:spPr>
        </c:majorGridlines>
        <c:numFmt formatCode="#,##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pt-BR"/>
          </a:p>
        </c:txPr>
        <c:crossAx val="76252288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b"/>
      <c:txPr>
        <a:bodyPr/>
        <a:lstStyle/>
        <a:p>
          <a:pPr>
            <a:defRPr sz="900"/>
          </a:pPr>
          <a:endParaRPr lang="pt-B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000"/>
            </a:pPr>
            <a:r>
              <a:rPr lang="pt-BR" sz="1000"/>
              <a:t>Projeção para</a:t>
            </a:r>
            <a:r>
              <a:rPr lang="pt-BR" sz="1000" baseline="0"/>
              <a:t> os próximos 10 anos - Soja</a:t>
            </a:r>
            <a:endParaRPr lang="pt-BR" sz="10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Plan1!$G$50</c:f>
              <c:strCache>
                <c:ptCount val="1"/>
                <c:pt idx="0">
                  <c:v>Produtividade (sc/ha)</c:v>
                </c:pt>
              </c:strCache>
            </c:strRef>
          </c:tx>
          <c:dLbls>
            <c:dLbl>
              <c:idx val="0"/>
              <c:layout>
                <c:manualLayout>
                  <c:x val="-5.9194341704542325E-2"/>
                  <c:y val="-8.7301573662421209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8.7301573662421209E-2"/>
                </c:manualLayout>
              </c:layout>
              <c:showVal val="1"/>
            </c:dLbl>
            <c:delete val="1"/>
          </c:dLbls>
          <c:cat>
            <c:numRef>
              <c:f>Plan1!$H$47:$R$47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Plan1!$H$48:$R$48</c:f>
              <c:numCache>
                <c:formatCode>#,##0.0</c:formatCode>
                <c:ptCount val="11"/>
                <c:pt idx="0">
                  <c:v>50.033333333333331</c:v>
                </c:pt>
                <c:pt idx="1">
                  <c:v>50.783833333333334</c:v>
                </c:pt>
                <c:pt idx="2">
                  <c:v>51.545590833333335</c:v>
                </c:pt>
                <c:pt idx="3">
                  <c:v>52.318774695833241</c:v>
                </c:pt>
                <c:pt idx="4">
                  <c:v>53.103556316270961</c:v>
                </c:pt>
                <c:pt idx="5">
                  <c:v>53.900109661014895</c:v>
                </c:pt>
                <c:pt idx="6">
                  <c:v>54.708611305930162</c:v>
                </c:pt>
                <c:pt idx="7">
                  <c:v>55.529240475519046</c:v>
                </c:pt>
                <c:pt idx="8">
                  <c:v>56.362179082651863</c:v>
                </c:pt>
                <c:pt idx="9">
                  <c:v>57.207611768891624</c:v>
                </c:pt>
                <c:pt idx="10">
                  <c:v>58.065725945425164</c:v>
                </c:pt>
              </c:numCache>
            </c:numRef>
          </c:val>
        </c:ser>
        <c:marker val="1"/>
        <c:axId val="76249728"/>
        <c:axId val="76349824"/>
      </c:lineChart>
      <c:catAx>
        <c:axId val="7624972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750"/>
            </a:pPr>
            <a:endParaRPr lang="pt-BR"/>
          </a:p>
        </c:txPr>
        <c:crossAx val="76349824"/>
        <c:crosses val="autoZero"/>
        <c:auto val="1"/>
        <c:lblAlgn val="ctr"/>
        <c:lblOffset val="100"/>
      </c:catAx>
      <c:valAx>
        <c:axId val="76349824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750"/>
            </a:pPr>
            <a:endParaRPr lang="pt-BR"/>
          </a:p>
        </c:txPr>
        <c:crossAx val="76249728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pt-BR"/>
        </a:p>
      </c:txPr>
    </c:legend>
    <c:plotVisOnly val="1"/>
  </c:chart>
  <c:spPr>
    <a:solidFill>
      <a:schemeClr val="bg1">
        <a:lumMod val="95000"/>
      </a:schemeClr>
    </a:solidFill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title>
      <c:tx>
        <c:rich>
          <a:bodyPr/>
          <a:lstStyle/>
          <a:p>
            <a:pPr>
              <a:defRPr sz="1000"/>
            </a:pPr>
            <a:r>
              <a:rPr lang="pt-BR" sz="1000"/>
              <a:t>Projeções</a:t>
            </a:r>
            <a:r>
              <a:rPr lang="pt-BR" sz="1000" baseline="0"/>
              <a:t> para os próximos 10 anos  - Milho</a:t>
            </a:r>
            <a:endParaRPr lang="pt-BR" sz="1000"/>
          </a:p>
        </c:rich>
      </c:tx>
    </c:title>
    <c:plotArea>
      <c:layout>
        <c:manualLayout>
          <c:layoutTarget val="inner"/>
          <c:xMode val="edge"/>
          <c:yMode val="edge"/>
          <c:x val="4.5482737233822686E-2"/>
          <c:y val="0.2277059754948777"/>
          <c:w val="0.90903452553235431"/>
          <c:h val="0.50873594945254552"/>
        </c:manualLayout>
      </c:layout>
      <c:lineChart>
        <c:grouping val="standard"/>
        <c:ser>
          <c:idx val="0"/>
          <c:order val="0"/>
          <c:tx>
            <c:v>Produtividade (sc/ha)</c:v>
          </c:tx>
          <c:dLbls>
            <c:dLbl>
              <c:idx val="0"/>
              <c:layout>
                <c:manualLayout>
                  <c:x val="-4.4444444444444502E-2"/>
                  <c:y val="-6.0289866080541557E-2"/>
                </c:manualLayout>
              </c:layout>
              <c:showVal val="1"/>
            </c:dLbl>
            <c:dLbl>
              <c:idx val="10"/>
              <c:layout>
                <c:manualLayout>
                  <c:x val="-3.0555555555555659E-2"/>
                  <c:y val="-5.1014502068150502E-2"/>
                </c:manualLayout>
              </c:layout>
              <c:showVal val="1"/>
            </c:dLbl>
            <c:delete val="1"/>
          </c:dLbls>
          <c:cat>
            <c:numRef>
              <c:f>'Projection MT'!$E$124:$O$124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'Projection MT'!$E$125:$O$125</c:f>
              <c:numCache>
                <c:formatCode>_-* #,##0.0_-;\-* #,##0.0_-;_-* "-"??_-;_-@_-</c:formatCode>
                <c:ptCount val="11"/>
                <c:pt idx="0">
                  <c:v>76</c:v>
                </c:pt>
                <c:pt idx="1">
                  <c:v>77.52</c:v>
                </c:pt>
                <c:pt idx="2">
                  <c:v>79.070399999999978</c:v>
                </c:pt>
                <c:pt idx="3">
                  <c:v>80.651807999999988</c:v>
                </c:pt>
                <c:pt idx="4">
                  <c:v>82.264844159999981</c:v>
                </c:pt>
                <c:pt idx="5">
                  <c:v>83.910141043199999</c:v>
                </c:pt>
                <c:pt idx="6">
                  <c:v>85.588343864063958</c:v>
                </c:pt>
                <c:pt idx="7">
                  <c:v>87.300110741345335</c:v>
                </c:pt>
                <c:pt idx="8">
                  <c:v>89.046112956172195</c:v>
                </c:pt>
                <c:pt idx="9">
                  <c:v>90.827035215295638</c:v>
                </c:pt>
                <c:pt idx="10">
                  <c:v>92.643575919601503</c:v>
                </c:pt>
              </c:numCache>
            </c:numRef>
          </c:val>
        </c:ser>
        <c:marker val="1"/>
        <c:axId val="76386688"/>
        <c:axId val="76388224"/>
      </c:lineChart>
      <c:catAx>
        <c:axId val="763866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750"/>
            </a:pPr>
            <a:endParaRPr lang="pt-BR"/>
          </a:p>
        </c:txPr>
        <c:crossAx val="76388224"/>
        <c:crosses val="autoZero"/>
        <c:auto val="1"/>
        <c:lblAlgn val="ctr"/>
        <c:lblOffset val="100"/>
      </c:catAx>
      <c:valAx>
        <c:axId val="76388224"/>
        <c:scaling>
          <c:orientation val="minMax"/>
          <c:min val="60"/>
        </c:scaling>
        <c:delete val="1"/>
        <c:axPos val="l"/>
        <c:majorGridlines/>
        <c:numFmt formatCode="_-* #,##0.0_-;\-* #,##0.0_-;_-* &quot;-&quot;??_-;_-@_-" sourceLinked="1"/>
        <c:majorTickMark val="none"/>
        <c:tickLblPos val="none"/>
        <c:crossAx val="763866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4085600009116095"/>
          <c:y val="0.8835058164469477"/>
          <c:w val="0.5100184112297107"/>
          <c:h val="0.11649418355305256"/>
        </c:manualLayout>
      </c:layout>
      <c:txPr>
        <a:bodyPr/>
        <a:lstStyle/>
        <a:p>
          <a:pPr>
            <a:defRPr sz="900"/>
          </a:pPr>
          <a:endParaRPr lang="pt-BR"/>
        </a:p>
      </c:txPr>
    </c:legend>
    <c:plotVisOnly val="1"/>
  </c:chart>
  <c:spPr>
    <a:solidFill>
      <a:schemeClr val="bg1">
        <a:lumMod val="95000"/>
      </a:schemeClr>
    </a:solidFill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000"/>
            </a:pPr>
            <a:r>
              <a:rPr lang="pt-BR" sz="1000"/>
              <a:t>Projeção para os próximos 10 anos - Milho</a:t>
            </a:r>
          </a:p>
        </c:rich>
      </c:tx>
      <c:layout>
        <c:manualLayout>
          <c:xMode val="edge"/>
          <c:yMode val="edge"/>
          <c:x val="0.17043274913624218"/>
          <c:y val="3.4873200220222909E-2"/>
        </c:manualLayout>
      </c:layout>
    </c:title>
    <c:plotArea>
      <c:layout>
        <c:manualLayout>
          <c:layoutTarget val="inner"/>
          <c:xMode val="edge"/>
          <c:yMode val="edge"/>
          <c:x val="0.18003622824543147"/>
          <c:y val="0.18718213100881945"/>
          <c:w val="0.77639381749522396"/>
          <c:h val="0.53635988776504429"/>
        </c:manualLayout>
      </c:layout>
      <c:lineChart>
        <c:grouping val="standard"/>
        <c:ser>
          <c:idx val="0"/>
          <c:order val="0"/>
          <c:tx>
            <c:strRef>
              <c:f>Plan1!$C$87</c:f>
              <c:strCache>
                <c:ptCount val="1"/>
                <c:pt idx="0">
                  <c:v>Area (mil ha)</c:v>
                </c:pt>
              </c:strCache>
            </c:strRef>
          </c:tx>
          <c:cat>
            <c:numRef>
              <c:f>Plan1!$D$86:$N$86</c:f>
              <c:numCache>
                <c:formatCode>0_ ;\-0\ 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Plan1!$D$87:$N$87</c:f>
              <c:numCache>
                <c:formatCode>_-* #,##0_-;\-* #,##0_-;_-* "-"??_-;_-@_-</c:formatCode>
                <c:ptCount val="11"/>
                <c:pt idx="0">
                  <c:v>1774</c:v>
                </c:pt>
                <c:pt idx="1">
                  <c:v>2177.6124999999997</c:v>
                </c:pt>
                <c:pt idx="2">
                  <c:v>2232.0528124999996</c:v>
                </c:pt>
                <c:pt idx="3">
                  <c:v>2287.8541328125029</c:v>
                </c:pt>
                <c:pt idx="4">
                  <c:v>2345.0504861328118</c:v>
                </c:pt>
                <c:pt idx="5">
                  <c:v>2403.6767482861324</c:v>
                </c:pt>
                <c:pt idx="6">
                  <c:v>2463.7686669932841</c:v>
                </c:pt>
                <c:pt idx="7">
                  <c:v>2525.3628836681164</c:v>
                </c:pt>
                <c:pt idx="8">
                  <c:v>2588.4969557598197</c:v>
                </c:pt>
                <c:pt idx="9">
                  <c:v>2653.2093796538147</c:v>
                </c:pt>
                <c:pt idx="10">
                  <c:v>2719.5396141451615</c:v>
                </c:pt>
              </c:numCache>
            </c:numRef>
          </c:val>
        </c:ser>
        <c:ser>
          <c:idx val="1"/>
          <c:order val="1"/>
          <c:tx>
            <c:strRef>
              <c:f>Plan1!$C$88</c:f>
              <c:strCache>
                <c:ptCount val="1"/>
                <c:pt idx="0">
                  <c:v>Produção (mil ton)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75000"/>
                  </a:schemeClr>
                </a:solidFill>
              </a:ln>
            </c:spPr>
          </c:marker>
          <c:cat>
            <c:numRef>
              <c:f>Plan1!$D$86:$N$86</c:f>
              <c:numCache>
                <c:formatCode>0_ ;\-0\ 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Plan1!$D$88:$N$88</c:f>
              <c:numCache>
                <c:formatCode>_-* #,##0_-;\-* #,##0_-;_-* "-"??_-;_-@_-</c:formatCode>
                <c:ptCount val="11"/>
                <c:pt idx="0">
                  <c:v>8089.44</c:v>
                </c:pt>
                <c:pt idx="1">
                  <c:v>10128.511259999997</c:v>
                </c:pt>
                <c:pt idx="2">
                  <c:v>10589.35852233</c:v>
                </c:pt>
                <c:pt idx="3">
                  <c:v>11071.174335096013</c:v>
                </c:pt>
                <c:pt idx="4">
                  <c:v>11574.912767342892</c:v>
                </c:pt>
                <c:pt idx="5">
                  <c:v>12101.571298256989</c:v>
                </c:pt>
                <c:pt idx="6">
                  <c:v>12652.192792327674</c:v>
                </c:pt>
                <c:pt idx="7">
                  <c:v>13227.867564378585</c:v>
                </c:pt>
                <c:pt idx="8">
                  <c:v>13829.73553855781</c:v>
                </c:pt>
                <c:pt idx="9">
                  <c:v>14458.988505562193</c:v>
                </c:pt>
                <c:pt idx="10">
                  <c:v>15116.872482565272</c:v>
                </c:pt>
              </c:numCache>
            </c:numRef>
          </c:val>
        </c:ser>
        <c:marker val="1"/>
        <c:axId val="85071744"/>
        <c:axId val="85082112"/>
      </c:lineChart>
      <c:catAx>
        <c:axId val="85071744"/>
        <c:scaling>
          <c:orientation val="minMax"/>
        </c:scaling>
        <c:axPos val="b"/>
        <c:numFmt formatCode="0_ ;\-0\ " sourceLinked="1"/>
        <c:majorTickMark val="none"/>
        <c:tickLblPos val="nextTo"/>
        <c:txPr>
          <a:bodyPr/>
          <a:lstStyle/>
          <a:p>
            <a:pPr>
              <a:defRPr sz="750"/>
            </a:pPr>
            <a:endParaRPr lang="pt-BR"/>
          </a:p>
        </c:txPr>
        <c:crossAx val="85082112"/>
        <c:crosses val="autoZero"/>
        <c:auto val="1"/>
        <c:lblAlgn val="ctr"/>
        <c:lblOffset val="100"/>
      </c:catAx>
      <c:valAx>
        <c:axId val="85082112"/>
        <c:scaling>
          <c:orientation val="minMax"/>
        </c:scaling>
        <c:axPos val="l"/>
        <c:majorGridlines/>
        <c:numFmt formatCode="_-* #,##0_-;\-* #,##0_-;_-* &quot;-&quot;??_-;_-@_-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pt-BR"/>
          </a:p>
        </c:txPr>
        <c:crossAx val="85071744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b"/>
      <c:layout>
        <c:manualLayout>
          <c:xMode val="edge"/>
          <c:yMode val="edge"/>
          <c:x val="0.15961947867005918"/>
          <c:y val="0.90191843790030379"/>
          <c:w val="0.77582244916162924"/>
          <c:h val="9.8081562099696276E-2"/>
        </c:manualLayout>
      </c:layout>
      <c:txPr>
        <a:bodyPr/>
        <a:lstStyle/>
        <a:p>
          <a:pPr>
            <a:defRPr sz="900"/>
          </a:pPr>
          <a:endParaRPr lang="pt-BR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900"/>
            </a:pPr>
            <a:r>
              <a:rPr lang="pt-BR" sz="1000"/>
              <a:t>Projeção</a:t>
            </a:r>
            <a:r>
              <a:rPr lang="pt-BR" sz="900"/>
              <a:t> para os próximos</a:t>
            </a:r>
            <a:r>
              <a:rPr lang="pt-BR" sz="900" baseline="0"/>
              <a:t> 10 anos - Arroz</a:t>
            </a:r>
            <a:endParaRPr lang="pt-BR" sz="9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Plan1!$C$131</c:f>
              <c:strCache>
                <c:ptCount val="1"/>
                <c:pt idx="0">
                  <c:v>Area (mil ha)</c:v>
                </c:pt>
              </c:strCache>
            </c:strRef>
          </c:tx>
          <c:cat>
            <c:numRef>
              <c:f>Plan1!$D$130:$N$130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Plan1!$D$131:$N$131</c:f>
              <c:numCache>
                <c:formatCode>_-* #,##0_-;\-* #,##0_-;_-* "-"??_-;_-@_-</c:formatCode>
                <c:ptCount val="11"/>
                <c:pt idx="0">
                  <c:v>260</c:v>
                </c:pt>
                <c:pt idx="1">
                  <c:v>266.5</c:v>
                </c:pt>
                <c:pt idx="2">
                  <c:v>273.16250000000002</c:v>
                </c:pt>
                <c:pt idx="3">
                  <c:v>279.99156249999987</c:v>
                </c:pt>
                <c:pt idx="4">
                  <c:v>286.99135156249957</c:v>
                </c:pt>
                <c:pt idx="5">
                  <c:v>294.16613535156233</c:v>
                </c:pt>
                <c:pt idx="6">
                  <c:v>301.52028873535181</c:v>
                </c:pt>
                <c:pt idx="7">
                  <c:v>309.05829595373535</c:v>
                </c:pt>
                <c:pt idx="8">
                  <c:v>316.78475335257849</c:v>
                </c:pt>
                <c:pt idx="9">
                  <c:v>324.7043721863933</c:v>
                </c:pt>
                <c:pt idx="10">
                  <c:v>332.82198149105301</c:v>
                </c:pt>
              </c:numCache>
            </c:numRef>
          </c:val>
        </c:ser>
        <c:ser>
          <c:idx val="1"/>
          <c:order val="1"/>
          <c:tx>
            <c:strRef>
              <c:f>Plan1!$C$132</c:f>
              <c:strCache>
                <c:ptCount val="1"/>
                <c:pt idx="0">
                  <c:v>Produção (mil ton)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75000"/>
                  </a:schemeClr>
                </a:solidFill>
              </a:ln>
            </c:spPr>
          </c:marker>
          <c:cat>
            <c:numRef>
              <c:f>Plan1!$D$130:$N$130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Plan1!$D$132:$N$132</c:f>
              <c:numCache>
                <c:formatCode>_-* #,##0_-;\-* #,##0_-;_-* "-"??_-;_-@_-</c:formatCode>
                <c:ptCount val="11"/>
                <c:pt idx="0">
                  <c:v>785.72</c:v>
                </c:pt>
                <c:pt idx="1">
                  <c:v>821.47025999999971</c:v>
                </c:pt>
                <c:pt idx="2">
                  <c:v>858.84715682999945</c:v>
                </c:pt>
                <c:pt idx="3">
                  <c:v>897.92470246576522</c:v>
                </c:pt>
                <c:pt idx="4">
                  <c:v>938.78027642795792</c:v>
                </c:pt>
                <c:pt idx="5">
                  <c:v>981.49477900542945</c:v>
                </c:pt>
                <c:pt idx="6">
                  <c:v>1026.1527914501767</c:v>
                </c:pt>
                <c:pt idx="7">
                  <c:v>1072.8427434611601</c:v>
                </c:pt>
                <c:pt idx="8">
                  <c:v>1121.6570882886422</c:v>
                </c:pt>
                <c:pt idx="9">
                  <c:v>1172.6924858057748</c:v>
                </c:pt>
                <c:pt idx="10">
                  <c:v>1226.0499939099382</c:v>
                </c:pt>
              </c:numCache>
            </c:numRef>
          </c:val>
        </c:ser>
        <c:marker val="1"/>
        <c:axId val="85114880"/>
        <c:axId val="85116800"/>
      </c:lineChart>
      <c:catAx>
        <c:axId val="8511488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750"/>
            </a:pPr>
            <a:endParaRPr lang="pt-BR"/>
          </a:p>
        </c:txPr>
        <c:crossAx val="85116800"/>
        <c:crosses val="autoZero"/>
        <c:auto val="1"/>
        <c:lblAlgn val="ctr"/>
        <c:lblOffset val="100"/>
      </c:catAx>
      <c:valAx>
        <c:axId val="85116800"/>
        <c:scaling>
          <c:orientation val="minMax"/>
        </c:scaling>
        <c:axPos val="l"/>
        <c:majorGridlines/>
        <c:numFmt formatCode="_-* #,##0_-;\-* #,##0_-;_-* &quot;-&quot;??_-;_-@_-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pt-BR"/>
          </a:p>
        </c:txPr>
        <c:crossAx val="85114880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legend>
      <c:legendPos val="b"/>
      <c:txPr>
        <a:bodyPr/>
        <a:lstStyle/>
        <a:p>
          <a:pPr>
            <a:defRPr sz="900"/>
          </a:pPr>
          <a:endParaRPr lang="pt-BR"/>
        </a:p>
      </c:txPr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Projeções para os próximos 10 anos - Arroz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Plan1!$G$52</c:f>
              <c:strCache>
                <c:ptCount val="1"/>
                <c:pt idx="0">
                  <c:v>Produtividade (sc/ha)</c:v>
                </c:pt>
              </c:strCache>
            </c:strRef>
          </c:tx>
          <c:dLbls>
            <c:dLbl>
              <c:idx val="0"/>
              <c:layout>
                <c:manualLayout>
                  <c:x val="-5.490752189815748E-2"/>
                  <c:y val="-5.8689031826091642E-2"/>
                </c:manualLayout>
              </c:layout>
              <c:showVal val="1"/>
            </c:dLbl>
            <c:dLbl>
              <c:idx val="10"/>
              <c:layout>
                <c:manualLayout>
                  <c:x val="-5.9131177428784862E-2"/>
                  <c:y val="-6.5210035362323907E-2"/>
                </c:manualLayout>
              </c:layout>
              <c:showVal val="1"/>
            </c:dLbl>
            <c:delete val="1"/>
          </c:dLbls>
          <c:cat>
            <c:numRef>
              <c:f>Plan1!$H$51:$R$51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Plan1!$H$52:$R$52</c:f>
              <c:numCache>
                <c:formatCode>#,##0.0</c:formatCode>
                <c:ptCount val="11"/>
                <c:pt idx="0">
                  <c:v>50.366666666666461</c:v>
                </c:pt>
                <c:pt idx="1">
                  <c:v>51.373999999999995</c:v>
                </c:pt>
                <c:pt idx="2">
                  <c:v>52.401479999999999</c:v>
                </c:pt>
                <c:pt idx="3">
                  <c:v>53.449509600000006</c:v>
                </c:pt>
                <c:pt idx="4">
                  <c:v>54.518499792000007</c:v>
                </c:pt>
                <c:pt idx="5">
                  <c:v>55.608869787839993</c:v>
                </c:pt>
                <c:pt idx="6">
                  <c:v>56.721047183596795</c:v>
                </c:pt>
                <c:pt idx="7">
                  <c:v>57.855468127268637</c:v>
                </c:pt>
                <c:pt idx="8">
                  <c:v>59.012577489814028</c:v>
                </c:pt>
                <c:pt idx="9">
                  <c:v>60.192829039610395</c:v>
                </c:pt>
                <c:pt idx="10">
                  <c:v>61.396685620402536</c:v>
                </c:pt>
              </c:numCache>
            </c:numRef>
          </c:val>
        </c:ser>
        <c:marker val="1"/>
        <c:axId val="85129088"/>
        <c:axId val="85130624"/>
      </c:lineChart>
      <c:catAx>
        <c:axId val="851290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750"/>
            </a:pPr>
            <a:endParaRPr lang="pt-BR"/>
          </a:p>
        </c:txPr>
        <c:crossAx val="85130624"/>
        <c:crosses val="autoZero"/>
        <c:auto val="1"/>
        <c:lblAlgn val="ctr"/>
        <c:lblOffset val="100"/>
      </c:catAx>
      <c:valAx>
        <c:axId val="85130624"/>
        <c:scaling>
          <c:orientation val="minMax"/>
          <c:min val="40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750"/>
            </a:pPr>
            <a:endParaRPr lang="pt-BR"/>
          </a:p>
        </c:txPr>
        <c:crossAx val="85129088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pt-BR"/>
        </a:p>
      </c:txPr>
    </c:legend>
    <c:plotVisOnly val="1"/>
  </c:chart>
  <c:spPr>
    <a:solidFill>
      <a:schemeClr val="bg1">
        <a:lumMod val="95000"/>
      </a:schemeClr>
    </a:solidFill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900"/>
            </a:pPr>
            <a:r>
              <a:rPr lang="pt-BR" sz="900"/>
              <a:t>Projeção</a:t>
            </a:r>
            <a:r>
              <a:rPr lang="pt-BR" sz="900" baseline="0"/>
              <a:t> de abates para os próximos 10 anos </a:t>
            </a:r>
          </a:p>
          <a:p>
            <a:pPr>
              <a:defRPr sz="900"/>
            </a:pPr>
            <a:r>
              <a:rPr lang="pt-BR" sz="900" baseline="0"/>
              <a:t>(em 1000 animais)</a:t>
            </a:r>
            <a:endParaRPr lang="pt-BR" sz="9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Plan1!$G$37</c:f>
              <c:strCache>
                <c:ptCount val="1"/>
                <c:pt idx="0">
                  <c:v>Bovinos</c:v>
                </c:pt>
              </c:strCache>
            </c:strRef>
          </c:tx>
          <c:cat>
            <c:numRef>
              <c:f>Plan1!$H$36:$R$36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Plan1!$H$37:$R$37</c:f>
              <c:numCache>
                <c:formatCode>#,##0</c:formatCode>
                <c:ptCount val="11"/>
                <c:pt idx="0">
                  <c:v>4434.1440000000002</c:v>
                </c:pt>
                <c:pt idx="1">
                  <c:v>4703.7399551999997</c:v>
                </c:pt>
                <c:pt idx="2">
                  <c:v>4989.7273444761604</c:v>
                </c:pt>
                <c:pt idx="3">
                  <c:v>5293.1027670203102</c:v>
                </c:pt>
                <c:pt idx="4">
                  <c:v>5614.9234152551435</c:v>
                </c:pt>
                <c:pt idx="5">
                  <c:v>5956.3107589026567</c:v>
                </c:pt>
                <c:pt idx="6">
                  <c:v>6318.4544530439389</c:v>
                </c:pt>
                <c:pt idx="7">
                  <c:v>6702.6164837890301</c:v>
                </c:pt>
                <c:pt idx="8">
                  <c:v>7110.135566003406</c:v>
                </c:pt>
                <c:pt idx="9">
                  <c:v>7542.4318084163888</c:v>
                </c:pt>
                <c:pt idx="10">
                  <c:v>8001.0116623681051</c:v>
                </c:pt>
              </c:numCache>
            </c:numRef>
          </c:val>
        </c:ser>
        <c:ser>
          <c:idx val="2"/>
          <c:order val="2"/>
          <c:tx>
            <c:strRef>
              <c:f>Plan1!$G$39</c:f>
              <c:strCache>
                <c:ptCount val="1"/>
                <c:pt idx="0">
                  <c:v>Suínos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pPr>
              <a:solidFill>
                <a:schemeClr val="accent3">
                  <a:lumMod val="75000"/>
                </a:schemeClr>
              </a:solidFill>
              <a:ln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Plan1!$H$36:$R$36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Plan1!$H$39:$R$39</c:f>
              <c:numCache>
                <c:formatCode>#,##0</c:formatCode>
                <c:ptCount val="11"/>
                <c:pt idx="0">
                  <c:v>1560</c:v>
                </c:pt>
                <c:pt idx="1">
                  <c:v>1872</c:v>
                </c:pt>
                <c:pt idx="2">
                  <c:v>2246.4</c:v>
                </c:pt>
                <c:pt idx="3">
                  <c:v>2695.6800000000003</c:v>
                </c:pt>
                <c:pt idx="4">
                  <c:v>2965.2479999999987</c:v>
                </c:pt>
                <c:pt idx="5">
                  <c:v>3261.7727999999997</c:v>
                </c:pt>
                <c:pt idx="6">
                  <c:v>3457.4791680000012</c:v>
                </c:pt>
                <c:pt idx="7">
                  <c:v>3664.9279180800022</c:v>
                </c:pt>
                <c:pt idx="8">
                  <c:v>3884.823593164801</c:v>
                </c:pt>
                <c:pt idx="9">
                  <c:v>4117.9130087546891</c:v>
                </c:pt>
                <c:pt idx="10">
                  <c:v>4364.9877892799705</c:v>
                </c:pt>
              </c:numCache>
            </c:numRef>
          </c:val>
        </c:ser>
        <c:marker val="1"/>
        <c:axId val="88675840"/>
        <c:axId val="88677760"/>
      </c:lineChart>
      <c:lineChart>
        <c:grouping val="standard"/>
        <c:ser>
          <c:idx val="1"/>
          <c:order val="1"/>
          <c:tx>
            <c:strRef>
              <c:f>Plan1!$G$38</c:f>
              <c:strCache>
                <c:ptCount val="1"/>
                <c:pt idx="0">
                  <c:v>Aves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pPr>
              <a:solidFill>
                <a:schemeClr val="tx1">
                  <a:lumMod val="50000"/>
                  <a:lumOff val="50000"/>
                </a:schemeClr>
              </a:solidFill>
              <a:ln>
                <a:solidFill>
                  <a:prstClr val="black">
                    <a:lumMod val="50000"/>
                    <a:lumOff val="50000"/>
                  </a:prstClr>
                </a:solidFill>
              </a:ln>
            </c:spPr>
          </c:marker>
          <c:cat>
            <c:numRef>
              <c:f>Plan1!$H$36:$R$36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Plan1!$H$38:$R$38</c:f>
              <c:numCache>
                <c:formatCode>#,##0</c:formatCode>
                <c:ptCount val="11"/>
                <c:pt idx="0">
                  <c:v>151800</c:v>
                </c:pt>
                <c:pt idx="1">
                  <c:v>166980</c:v>
                </c:pt>
                <c:pt idx="2">
                  <c:v>183678</c:v>
                </c:pt>
                <c:pt idx="3">
                  <c:v>202045.8</c:v>
                </c:pt>
                <c:pt idx="4">
                  <c:v>222250.37999999998</c:v>
                </c:pt>
                <c:pt idx="5">
                  <c:v>244475.41800000001</c:v>
                </c:pt>
                <c:pt idx="6">
                  <c:v>259143.94308</c:v>
                </c:pt>
                <c:pt idx="7">
                  <c:v>274692.57966479997</c:v>
                </c:pt>
                <c:pt idx="8">
                  <c:v>291174.13444468786</c:v>
                </c:pt>
                <c:pt idx="9">
                  <c:v>308644.58251137065</c:v>
                </c:pt>
                <c:pt idx="10">
                  <c:v>327163.25746205141</c:v>
                </c:pt>
              </c:numCache>
            </c:numRef>
          </c:val>
        </c:ser>
        <c:marker val="1"/>
        <c:axId val="88685184"/>
        <c:axId val="88683648"/>
      </c:lineChart>
      <c:catAx>
        <c:axId val="886758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850"/>
            </a:pPr>
            <a:endParaRPr lang="pt-BR"/>
          </a:p>
        </c:txPr>
        <c:crossAx val="88677760"/>
        <c:crosses val="autoZero"/>
        <c:auto val="1"/>
        <c:lblAlgn val="ctr"/>
        <c:lblOffset val="100"/>
      </c:catAx>
      <c:valAx>
        <c:axId val="88677760"/>
        <c:scaling>
          <c:orientation val="minMax"/>
        </c:scaling>
        <c:axPos val="l"/>
        <c:majorGridlines/>
        <c:numFmt formatCode="#,##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50"/>
            </a:pPr>
            <a:endParaRPr lang="pt-BR"/>
          </a:p>
        </c:txPr>
        <c:crossAx val="88675840"/>
        <c:crosses val="autoZero"/>
        <c:crossBetween val="between"/>
      </c:valAx>
      <c:valAx>
        <c:axId val="88683648"/>
        <c:scaling>
          <c:orientation val="minMax"/>
        </c:scaling>
        <c:axPos val="r"/>
        <c:numFmt formatCode="#,##0" sourceLinked="1"/>
        <c:tickLblPos val="nextTo"/>
        <c:txPr>
          <a:bodyPr/>
          <a:lstStyle/>
          <a:p>
            <a:pPr>
              <a:defRPr sz="750"/>
            </a:pPr>
            <a:endParaRPr lang="pt-BR"/>
          </a:p>
        </c:txPr>
        <c:crossAx val="88685184"/>
        <c:crosses val="max"/>
        <c:crossBetween val="between"/>
      </c:valAx>
      <c:catAx>
        <c:axId val="88685184"/>
        <c:scaling>
          <c:orientation val="minMax"/>
        </c:scaling>
        <c:delete val="1"/>
        <c:axPos val="b"/>
        <c:numFmt formatCode="General" sourceLinked="1"/>
        <c:tickLblPos val="none"/>
        <c:crossAx val="88683648"/>
        <c:crosses val="autoZero"/>
        <c:auto val="1"/>
        <c:lblAlgn val="ctr"/>
        <c:lblOffset val="100"/>
      </c:catAx>
      <c:spPr>
        <a:solidFill>
          <a:schemeClr val="bg1">
            <a:lumMod val="95000"/>
          </a:schemeClr>
        </a:solidFill>
      </c:spPr>
    </c:plotArea>
    <c:legend>
      <c:legendPos val="b"/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Projeção para os próximos 10 anos - Carnes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'Projection MT'!$C$113</c:f>
              <c:strCache>
                <c:ptCount val="1"/>
                <c:pt idx="0">
                  <c:v>mil ton equivalente carcaça</c:v>
                </c:pt>
              </c:strCache>
            </c:strRef>
          </c:tx>
          <c:cat>
            <c:numRef>
              <c:f>'Projection MT'!$D$112:$N$112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'Projection MT'!$D$113:$N$113</c:f>
              <c:numCache>
                <c:formatCode>_-* #,##0_-;\-* #,##0_-;_-* "-"??_-;_-@_-</c:formatCode>
                <c:ptCount val="11"/>
                <c:pt idx="0">
                  <c:v>1555.7423999999996</c:v>
                </c:pt>
                <c:pt idx="1">
                  <c:v>1687.0274899199999</c:v>
                </c:pt>
                <c:pt idx="2">
                  <c:v>1832.0272525071362</c:v>
                </c:pt>
                <c:pt idx="3">
                  <c:v>1992.5613825795681</c:v>
                </c:pt>
                <c:pt idx="4">
                  <c:v>2145.1323544324109</c:v>
                </c:pt>
                <c:pt idx="5">
                  <c:v>2310.1219653530957</c:v>
                </c:pt>
                <c:pt idx="6">
                  <c:v>2449.8014192108872</c:v>
                </c:pt>
                <c:pt idx="7">
                  <c:v>2597.9268261650841</c:v>
                </c:pt>
                <c:pt idx="8">
                  <c:v>2755.0089067020745</c:v>
                </c:pt>
                <c:pt idx="9">
                  <c:v>2921.5892655060798</c:v>
                </c:pt>
                <c:pt idx="10">
                  <c:v>3098.2422591619552</c:v>
                </c:pt>
              </c:numCache>
            </c:numRef>
          </c:val>
        </c:ser>
        <c:marker val="1"/>
        <c:axId val="88713472"/>
        <c:axId val="88715264"/>
      </c:lineChart>
      <c:catAx>
        <c:axId val="887134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750"/>
            </a:pPr>
            <a:endParaRPr lang="pt-BR"/>
          </a:p>
        </c:txPr>
        <c:crossAx val="88715264"/>
        <c:crosses val="autoZero"/>
        <c:auto val="1"/>
        <c:lblAlgn val="ctr"/>
        <c:lblOffset val="100"/>
      </c:catAx>
      <c:valAx>
        <c:axId val="88715264"/>
        <c:scaling>
          <c:orientation val="minMax"/>
        </c:scaling>
        <c:axPos val="l"/>
        <c:majorGridlines/>
        <c:numFmt formatCode="_-* #,##0_-;\-* #,##0_-;_-* &quot;-&quot;??_-;_-@_-" sourceLinked="1"/>
        <c:tickLblPos val="nextTo"/>
        <c:txPr>
          <a:bodyPr/>
          <a:lstStyle/>
          <a:p>
            <a:pPr>
              <a:defRPr sz="900"/>
            </a:pPr>
            <a:endParaRPr lang="pt-BR"/>
          </a:p>
        </c:txPr>
        <c:crossAx val="88713472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pt-BR"/>
        </a:p>
      </c:txPr>
    </c:legend>
    <c:plotVisOnly val="1"/>
  </c:chart>
  <c:spPr>
    <a:solidFill>
      <a:schemeClr val="bg1">
        <a:lumMod val="95000"/>
      </a:schemeClr>
    </a:solidFill>
    <a:ln>
      <a:noFill/>
    </a:ln>
  </c:sp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C9F0E-4D2C-457C-8B76-7F6D6800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cleber.gelio</cp:lastModifiedBy>
  <cp:revision>2</cp:revision>
  <cp:lastPrinted>2010-01-29T17:26:00Z</cp:lastPrinted>
  <dcterms:created xsi:type="dcterms:W3CDTF">2010-03-05T14:21:00Z</dcterms:created>
  <dcterms:modified xsi:type="dcterms:W3CDTF">2010-03-05T14:21:00Z</dcterms:modified>
</cp:coreProperties>
</file>